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黑体" w:cs="Times New Roman"/>
          <w:bCs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bCs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" w:cs="Times New Roman"/>
          <w:bCs/>
          <w:spacing w:val="0"/>
          <w:kern w:val="2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安徽省县域制造业特色产业集群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培育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管理办法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880" w:firstLineChars="200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  <w:t>第一章</w:t>
      </w: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为贯彻落实《安徽省人民政府办公厅关于推进县域特色产业集群（基地）高质量发展的指导意见》（皖政办秘〔2024〕56号），规范我省县域制造业特色产业集群培育管理，建设一批具有较强竞争力的县域制造业特色产业集群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本办法所指安徽省县域制造业特色产业集群（以下简称集群）是指定位在县（市、区）区划范围内，以制造业企业为主体，聚焦县域首位产业，具有一定规模优势，产业链条完善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分工协作高效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资源要素集聚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创新能力强劲，具有明显示范带动作用和行业竞争力的特色产业集群。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</w:rPr>
        <w:t xml:space="preserve">第二章 </w:t>
      </w:r>
      <w:r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  <w:t>培育建设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省县域制造业特色产业集群培育建设方向：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（一）规模效益显著。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集群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规上企业数量、营业收入、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税收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、利润总额等方面集聚效应明显。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原则上集群营业收入应达100亿元以上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，集群营业收入居全省同行业第一位或位居全国同行业前列的集群，可适当放宽条件。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trike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（二）优质企业集聚。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集群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至少拥有一家龙头企业以及一批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紧密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关联的配套企业，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拥有高新技术企业、专精特新中小企业、专精特新</w:t>
      </w:r>
      <w:r>
        <w:rPr>
          <w:rFonts w:hint="default" w:ascii="Times New Roman" w:hAnsi="Times New Roman" w:eastAsia="serif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小巨人</w:t>
      </w:r>
      <w:r>
        <w:rPr>
          <w:rFonts w:hint="default" w:ascii="Times New Roman" w:hAnsi="Times New Roman" w:eastAsia="serif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企业、制造业单项冠军等优质企业</w:t>
      </w:r>
      <w:r>
        <w:rPr>
          <w:rFonts w:hint="default" w:ascii="Times New Roman" w:hAnsi="Times New Roman" w:eastAsia="serif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（三）产业协同高效。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集群产业链协作高效，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供应链本地化配套率较高，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构建形成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资源协同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、生产协同、供应链协同、技术协同的产业生态。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（四）创新能力较强。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lang w:val="en-US" w:eastAsia="zh-CN" w:bidi="ar"/>
        </w:rPr>
        <w:t>集群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构建多层次创新平台，集成开放创新基础设施和服务资源，与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行业领军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企业、高等院校和科研院所建立稳定的创新合作机制，开展共性技术产学研协同创新，强化知识产权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运用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集群企业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加大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研发投入，平均研发投入强度达2.2%以上。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（五）服务体系健全。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集群所在地政府部门在要素保障、项目推进、产业规划、双招双引等方面措施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有力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，集群管理机构、行业协会、商会、联盟等集群促进组织发挥作用明显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，集群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科技服务、知识产权、检验检测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公共服务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较为完善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（六）质量品牌引领。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集群区域公共品牌特色鲜明，具有较高知名度和品牌影响力，主导产品市场占有率较高。集群企业质量管理体系完善，主导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及参与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制定各类标准，引领行业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发展，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涌现一批省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级新产品、“三首”产品、工业精品和重点产业链标志性产品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（七）开放合作深化。</w:t>
      </w:r>
      <w:r>
        <w:rPr>
          <w:rFonts w:hint="default" w:ascii="Times New Roman" w:hAnsi="Times New Roman" w:eastAsia="仿宋_GB2312" w:cs="Times New Roman"/>
          <w:b w:val="0"/>
          <w:color w:val="000000"/>
          <w:spacing w:val="0"/>
          <w:kern w:val="2"/>
          <w:sz w:val="32"/>
          <w:szCs w:val="32"/>
          <w:lang w:val="en-US" w:eastAsia="zh-CN" w:bidi="ar-SA"/>
        </w:rPr>
        <w:t>集群深度融入长三角产业链、研发链、出口链，承接产业梯度转移，开展技术、管理、人才、资本等方面交流合作。集群企业积极“抱团走出去”，大力开拓“一带一路”等国际市场，参与全球分工。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2"/>
        <w:rPr>
          <w:rFonts w:hint="default" w:ascii="Times New Roman" w:hAnsi="Times New Roman" w:eastAsia="方正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b w:val="0"/>
          <w:bCs w:val="0"/>
          <w:sz w:val="32"/>
          <w:szCs w:val="32"/>
        </w:rPr>
        <w:t xml:space="preserve">第三章 </w:t>
      </w:r>
      <w:r>
        <w:rPr>
          <w:rFonts w:hint="default" w:ascii="Times New Roman" w:hAnsi="Times New Roman" w:eastAsia="方正黑体" w:cs="Times New Roman"/>
          <w:b w:val="0"/>
          <w:bCs w:val="0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黑体" w:cs="Times New Roman"/>
          <w:b w:val="0"/>
          <w:bCs w:val="0"/>
          <w:sz w:val="32"/>
          <w:szCs w:val="32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省工业和信息化厅负责省县域制造业特色产业集群培育认定工作，每年度评定一次。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省县域制造业特色产业集群按以下程序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开展评估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组织评估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省工业和信息化厅发布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年度综合评估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通知，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各县（市、区）按照布局规划提交集群评价材料和相关佐证材料，由所在市工业和信息化部门审核把关后报送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（二）审核评定。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省工业和信息化厅对申报材料进行审核，经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评审等程序，拟定本年度省县域制造业特色产业集群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认定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名单。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（三）公示发布。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名单在省工业和信息化厅官方网站公示5个工作日，公示无异议后，由省工业和信息化厅认定为安徽省县域制造业特色产业集群。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</w:rPr>
      </w:pPr>
      <w:r>
        <w:rPr>
          <w:rFonts w:hint="default" w:ascii="Times New Roman" w:hAnsi="Times New Roman" w:eastAsia="方正黑体" w:cs="Times New Roman"/>
          <w:sz w:val="32"/>
          <w:szCs w:val="32"/>
        </w:rPr>
        <w:t>第四章 动态管理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集群有效期为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每次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有效期满后，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由省工业和信息化厅组织开展复核工作，复核通过的有效期延长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CESI仿宋-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省工业和信息化厅统筹制造强省等专项资金，开展“一群一策”诊断，支持集群编制专项规划、一图三库、建设公共平台等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鼓励各市、县（市、区）制定配套政策，推动县域制造业特色产业集群高质量发展。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第八条</w:t>
      </w:r>
      <w:r>
        <w:rPr>
          <w:rFonts w:hint="eastAsia" w:ascii="Times New Roman" w:hAnsi="Times New Roman" w:eastAsia="CESI仿宋-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集群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实施年度报告制度，各市工业和信息化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负责对辖区内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县域制造业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特色产业集群发展情况进行指导，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并组织集群于每年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将上一年度集群发展情况报省工业和信息化厅。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" w:cs="Times New Roman"/>
          <w:sz w:val="32"/>
          <w:szCs w:val="32"/>
        </w:rPr>
      </w:pPr>
      <w:r>
        <w:rPr>
          <w:rFonts w:hint="default" w:ascii="Times New Roman" w:hAnsi="Times New Roman" w:eastAsia="方正黑体" w:cs="Times New Roman"/>
          <w:sz w:val="32"/>
          <w:szCs w:val="32"/>
        </w:rPr>
        <w:t>第五章 附则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本办法由安徽省工业和信息化厅负责解释。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第十条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本办法自发布之日起实施。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8D03"/>
    <w:rsid w:val="3E507C6A"/>
    <w:rsid w:val="BFFF8D03"/>
    <w:rsid w:val="EDFD5279"/>
    <w:rsid w:val="EFFC8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eastAsia="宋体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29.3333333333333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2025-06-21T10:40:00Z</dcterms:created>
  <dc:creator>UOS</dc:creator>
  <cp:lastModifiedBy>hufan</cp:lastModifiedBy>
  <dcterms:modified xsi:type="dcterms:W3CDTF">2025-08-01T08:51:09Z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DA5C24DC6A180D46893A5568F0B273F8_41</vt:lpwstr>
  </property>
</Properties>
</file>