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黑体" w:cs="Times New Roman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" w:cs="Times New Roman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spacing w:val="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beforeAutospacing="0" w:after="219" w:afterLines="7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省级赋能措施清单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对照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全省县域制造业特色产业集群布局规划图，通过政府购买服务方式，开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展“一群一策”诊断，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评估集群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短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板弱项，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明晰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集群发展方向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和提升路径。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支持集群编制发展规划和产业链图谱，对标国内外同行业先进集群，聚焦产业链薄弱缺失环节和共性技术难题，加快突破技术瓶颈，不断完善产业链条，提升集群核心竞争力。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支持集群扶持规模体量大、支撑带动力强的龙头企业，打造一批制造业单项冠军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产业链链主企业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企业通过并购重组整合产业链上下游，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增强核心竞争力和产业链生态主导力。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实施制造业重大技术改造升级和大规模设备更新工程，支持企业聚焦产业链关键环节和产业基础能力提升、进口替代等重点环节，采用新技术、新工艺、新设备、新材料对现有设施、工艺条件及生产服务等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开展新型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技术改造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梳理集群在关键共性技术、核心零部件、工艺设备等方面的技术短板，滚动编制核心技术攻关清单，支持集群龙头企业牵头组建创新联合体，采用“揭榜挂帅”“联合攻关”等方式攻克卡脖子技术。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集群布局建设概念验证中心、制造业中试平台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、县域特色产业研究院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和检验检测认证机构，为集群内企业提供科技成果遴选识别、可行性评估、商业化价值分析以及投产前试验、质量检测等服务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  <w:t>加快推进“人工智能+制造业”行动，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支持通用大模型、专业大模型等人工智能技术为集群企业赋能。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加快工业互联网平台建设应用，推动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集群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内设备数据、产业资源图谱、共性需求等资源上云上平台。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集群龙头企业围绕强基础、建平台、延链条实施数字化转型项目，牵引产业链上下游企业实施标准统一的数字化改造，推动集群“链式”数字化转型。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聚焦集群数字化转型共性需求，推广应用适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应集群典型场景的“小快轻准”数字化解决方案，支持集群梯度培育建设智能工厂</w:t>
      </w:r>
      <w:r>
        <w:rPr>
          <w:rFonts w:hint="eastAsia" w:ascii="Times New Roman" w:hAnsi="Times New Roman" w:eastAsia="仿宋_GB2312" w:cs="Times New Roman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支持集群企业打造省级新产品、“三首”产品、工业精品和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重点产业链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标志性产品，形成具有集群品牌特色的工业精品矩阵。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推动集群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val="en-US" w:eastAsia="zh-CN"/>
        </w:rPr>
        <w:t>开展集体商标、证明商标注册和保护，联合行业协会、联盟、龙头企业打造具有辨识度的区域公共品牌。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积极开展品牌宣传推广，支持集群以公共品牌形式参加行业重要会展活动、举办行业研讨会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开展集群人才需求摸排，组织高校、科研院所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与集群企业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开展人才供需对接。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支持集群企业引进高层次人才，对企业引进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符合条件的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海外高层次人才和急需人才，通过“绿色通道”进行职称评审和人才层次认定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引导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银行、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担保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等金融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机构创新开发“集群贷”等特色差异化金融产品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鼓励省新兴产业引导基金围绕集群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发展方向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设立子基金，加大对集群企业投资力度。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推动先进制造业和现代生产性服务业深度融合，支持集群大力发展与主导产业相配套的制造服务业，高水平建设一批服务型制造集聚区。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依托徽派企业国际经贸合作联盟、工信部国际经济技术合作中心等机构，提供集群“抱团出海”咨询服务和解决方案。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支持集群企业参加世界制造业大会、“徽动全球”系列专业展会等活动。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支持有需要的集群企业开设中欧“定制班列”。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</w:rPr>
        <w:t>鼓励依托“链主”企业，引进配套企业、上下游企业和生态合作伙伴，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促进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</w:rPr>
        <w:t>大中小企业融通发展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serif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  <w:t>实施“百场万企”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</w:rPr>
        <w:t>对接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活动，组织产业链供需对接会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</w:rPr>
        <w:t>“进县入园”，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  <w:t>开展产需和要素对接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serif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省有关部门在要素保障、产学研合作，资源对接等方面，重点支持集群企业。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制定《县域制造业特色产业集群培育管理办法》，建立集群发展评估指标体系，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发布年度评估报告，并将评估结果纳入各地制造强省建设年度评价，每年择优培育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认定20个左右省县域制造业特色产业集群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统筹制造强省等专项资金，用于开展“一群一策”诊断，支持集群编制专项规划、一图三库、建设公共平台等。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7D913"/>
    <w:multiLevelType w:val="singleLevel"/>
    <w:tmpl w:val="B7F7D913"/>
    <w:lvl w:ilvl="0" w:tentative="0">
      <w:start w:val="1"/>
      <w:numFmt w:val="decimal"/>
      <w:suff w:val="space"/>
      <w:lvlText w:val="%1."/>
      <w:lvlJc w:val="left"/>
      <w:rPr>
        <w:rFonts w:hint="default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DF3715"/>
    <w:rsid w:val="5FFBABFD"/>
    <w:rsid w:val="7AD5394A"/>
    <w:rsid w:val="7BFF6D1A"/>
    <w:rsid w:val="ADDF3715"/>
    <w:rsid w:val="FFFCE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2025-06-21T18:39:00Z</dcterms:created>
  <dc:creator>UOS</dc:creator>
  <cp:lastModifiedBy>hufan</cp:lastModifiedBy>
  <dcterms:modified xsi:type="dcterms:W3CDTF">2025-08-01T08:50:53Z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8BF1241191F92DC6763A55685B58D6C4_41</vt:lpwstr>
  </property>
</Properties>
</file>