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after="0" w:line="580" w:lineRule="exact"/>
        <w:ind w:left="0" w:leftChars="0" w:firstLine="0" w:firstLineChars="0"/>
        <w:jc w:val="both"/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after="0" w:line="580" w:lineRule="exact"/>
        <w:ind w:left="0" w:leftChars="0" w:firstLine="0" w:firstLineChars="0"/>
        <w:jc w:val="both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 w:val="0"/>
        <w:snapToGrid w:val="0"/>
        <w:spacing w:line="580" w:lineRule="exact"/>
        <w:ind w:left="0" w:leftChars="0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支持以新型技术改造推动制造业高端化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 w:val="0"/>
        <w:snapToGrid w:val="0"/>
        <w:spacing w:line="580" w:lineRule="exact"/>
        <w:ind w:left="0" w:leftChars="0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智能化绿色化发展若干政策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spacing w:after="0" w:line="580" w:lineRule="exact"/>
        <w:ind w:left="0" w:leftChars="0" w:firstLine="0" w:firstLineChars="0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征求意见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稿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line="580" w:lineRule="exact"/>
        <w:ind w:left="0" w:leftChars="0" w:firstLine="640" w:firstLineChars="200"/>
        <w:jc w:val="left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line="580" w:lineRule="exact"/>
        <w:ind w:left="0" w:leftChars="0" w:firstLine="640" w:firstLineChars="20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为引导和支持制造业实施新型技术改造，推动全省制造业高端化智能化绿色化发展，现制定如下政策。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line="580" w:lineRule="exact"/>
        <w:ind w:left="0" w:leftChars="0" w:firstLine="640" w:firstLineChars="200"/>
        <w:jc w:val="left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一、支持打造人工智能应用场景。</w:t>
      </w:r>
      <w:r>
        <w:rPr>
          <w:rFonts w:hint="default" w:ascii="Times New Roman" w:hAnsi="Times New Roman" w:cs="Times New Roman"/>
          <w:sz w:val="32"/>
          <w:szCs w:val="32"/>
        </w:rPr>
        <w:t>支持打造一批人工智能赋能新型工业化示范应用场景项目，按照示范项目改造升级总投资额的30%给予最高奖补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</w:rPr>
        <w:t>00万元。支持建设一批人工智能赋能新型工业化示范区，对每个符合条件的示范区给予最高奖补500万元。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牵头单位：省工业和信息化厅，配合单位：省财政厅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after="0" w:line="580" w:lineRule="exact"/>
        <w:ind w:left="0" w:leftChars="0" w:firstLine="640"/>
        <w:jc w:val="left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二、支持产业基础再造。</w:t>
      </w:r>
      <w:r>
        <w:rPr>
          <w:rFonts w:hint="default" w:ascii="Times New Roman" w:hAnsi="Times New Roman" w:cs="Times New Roman"/>
          <w:sz w:val="32"/>
          <w:szCs w:val="32"/>
        </w:rPr>
        <w:t>对能够完成产业基础“揭榜挂帅”攻关任务的企业，按设备投资额和技术先进水平分档给予补助，单个项目最高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奖补</w:t>
      </w:r>
      <w:r>
        <w:rPr>
          <w:rFonts w:hint="default" w:ascii="Times New Roman" w:hAnsi="Times New Roman" w:cs="Times New Roman"/>
          <w:sz w:val="32"/>
          <w:szCs w:val="32"/>
        </w:rPr>
        <w:t>500万元。支持制造业中试平台建设，对列入省级或国家级制造业中试平台分别给予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cs="Times New Roman"/>
          <w:sz w:val="32"/>
          <w:szCs w:val="32"/>
        </w:rPr>
        <w:t>万、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</w:rPr>
        <w:t>00万一次性补助。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牵头单位：省工业和信息化厅，配合单位：省财政厅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after="0" w:line="580" w:lineRule="exact"/>
        <w:ind w:left="0" w:leftChars="0" w:firstLine="64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三、支持产业链协同创新。</w:t>
      </w:r>
      <w:r>
        <w:rPr>
          <w:rFonts w:hint="default" w:ascii="Times New Roman" w:hAnsi="Times New Roman" w:cs="Times New Roman"/>
          <w:sz w:val="32"/>
          <w:szCs w:val="32"/>
        </w:rPr>
        <w:t>鼓励产业链链主、独角兽、单项冠军、专精特新“小巨人”等头部企业联合产业链上下游企业等开展制造业协同创新，对完成创新任务的项目按项目研发总投入的20%给予奖补，单个项目最高奖补1000万元。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（牵头单位：省工业和信息化厅，配合单位：省财政厅）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line="580" w:lineRule="exact"/>
        <w:ind w:left="0" w:leftChars="0" w:firstLine="640" w:firstLineChars="20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四、支持实施新型技术改造项目。</w:t>
      </w:r>
      <w:r>
        <w:rPr>
          <w:rFonts w:hint="default" w:ascii="Times New Roman" w:hAnsi="Times New Roman" w:cs="Times New Roman"/>
          <w:sz w:val="32"/>
          <w:szCs w:val="32"/>
        </w:rPr>
        <w:t>对符合安徽省产业结构优化和质量提升重点方向、投资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</w:rPr>
        <w:t>00万元（含）以上且纳入工业投资统计的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新型</w:t>
      </w:r>
      <w:r>
        <w:rPr>
          <w:rFonts w:hint="default" w:ascii="Times New Roman" w:hAnsi="Times New Roman" w:cs="Times New Roman"/>
          <w:sz w:val="32"/>
          <w:szCs w:val="32"/>
        </w:rPr>
        <w:t>技术改造项目，按项目设备</w:t>
      </w:r>
      <w:r>
        <w:rPr>
          <w:rFonts w:hint="eastAsia" w:ascii="Times New Roman" w:hAnsi="Times New Roman" w:cs="Times New Roman"/>
          <w:sz w:val="32"/>
          <w:szCs w:val="32"/>
        </w:rPr>
        <w:t>（含软硬一体设备）</w:t>
      </w:r>
      <w:r>
        <w:rPr>
          <w:rFonts w:hint="default" w:ascii="Times New Roman" w:hAnsi="Times New Roman" w:cs="Times New Roman"/>
          <w:sz w:val="32"/>
          <w:szCs w:val="32"/>
        </w:rPr>
        <w:t>投资额的10%、软件投资额的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sz w:val="32"/>
          <w:szCs w:val="32"/>
        </w:rPr>
        <w:t>0%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sz w:val="32"/>
          <w:szCs w:val="32"/>
        </w:rPr>
        <w:t>给予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最高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cs="Times New Roman"/>
          <w:sz w:val="32"/>
          <w:szCs w:val="32"/>
        </w:rPr>
        <w:t>万元奖补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，其中，对省级及以上链主</w:t>
      </w:r>
      <w:r>
        <w:rPr>
          <w:rFonts w:hint="default" w:ascii="Times New Roman" w:hAnsi="Times New Roman" w:cs="Times New Roman"/>
          <w:sz w:val="32"/>
          <w:szCs w:val="32"/>
        </w:rPr>
        <w:t>企业带动产业链上下游企业实施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cs="Times New Roman"/>
          <w:sz w:val="32"/>
          <w:szCs w:val="32"/>
        </w:rPr>
        <w:t>链式整体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新型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技术</w:t>
      </w:r>
      <w:r>
        <w:rPr>
          <w:rFonts w:hint="default" w:ascii="Times New Roman" w:hAnsi="Times New Roman" w:cs="Times New Roman"/>
          <w:sz w:val="32"/>
          <w:szCs w:val="32"/>
        </w:rPr>
        <w:t>改造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cs="Times New Roman"/>
          <w:sz w:val="32"/>
          <w:szCs w:val="32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给予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最高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1000万元</w:t>
      </w:r>
      <w:r>
        <w:rPr>
          <w:rFonts w:hint="default" w:ascii="Times New Roman" w:hAnsi="Times New Roman" w:cs="Times New Roman"/>
          <w:sz w:val="32"/>
          <w:szCs w:val="32"/>
        </w:rPr>
        <w:t>奖补。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支持省级及以上工业园区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以区域为整体统筹实施一批新型技术改造项目，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打造省级新型技术改造示范区，</w:t>
      </w:r>
      <w:r>
        <w:rPr>
          <w:rFonts w:hint="default" w:ascii="Times New Roman" w:hAnsi="Times New Roman" w:cs="Times New Roman"/>
          <w:sz w:val="32"/>
          <w:szCs w:val="32"/>
        </w:rPr>
        <w:t>对每个符合条件的园区给予最高2000万元的奖补。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牵头单位：省工业和信息化厅，配合单位：省财政厅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line="580" w:lineRule="exact"/>
        <w:ind w:left="0" w:leftChars="0" w:firstLine="640" w:firstLineChars="20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、支持企业创先争优。</w:t>
      </w:r>
      <w:r>
        <w:rPr>
          <w:rFonts w:hint="default" w:ascii="Times New Roman" w:hAnsi="Times New Roman" w:cs="Times New Roman"/>
          <w:sz w:val="32"/>
          <w:szCs w:val="32"/>
        </w:rPr>
        <w:t>对获评卓越级、领航级智能工厂的企业分别给予一次性200万元、500万元奖补。对获评国家级绿色工厂、绿色供应链管理企业的，分别给予一次性奖补50万元。对获得国家消费品工业知名品牌企业、“三品”数字化服务平台、“三品”应用场景典型案例企业，分别奖补200万元。引导工业互联网企业开展工业互联网网络安全分类分级管理，按照企业在网络安全软硬件投入的50%，对达到国家三级、二级标准的企业，分别给予一次性最高奖补200万元、100万元。对主导制定国际、国家（行业）标准的企业，每个标准分别给予一次性最高奖补100万元、50万元。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牵头单位：省工业和信息化厅，配合单位：省财政厅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after="0" w:line="580" w:lineRule="exact"/>
        <w:ind w:left="0" w:leftChars="0" w:firstLine="64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、支持服务能力提升。</w:t>
      </w:r>
      <w:r>
        <w:rPr>
          <w:rFonts w:hint="default" w:ascii="Times New Roman" w:hAnsi="Times New Roman" w:cs="Times New Roman"/>
          <w:sz w:val="32"/>
          <w:szCs w:val="32"/>
        </w:rPr>
        <w:t>支持工业互联网体系化发展，加快工业互联网规模化应用，对获评省级重点工业互联网平台的企业，给予一次性奖补100万元。鼓励工业企业深化人工智能、5G、标识解析等新技术与工业互联网的融合应用，每年遴选一批工业互联网应用示范项目，给予一次性最高奖补100万元。鼓励智能化转型服务商为我省制造业企业提供智能化改造解决方案，推广行业应用场景和典型案例，每年对开展智能化转型服务成效明显的优秀服务商分档给予最高100万元奖励。鼓励创建数字化转型促进中心，对获评的国家制造业数字化转型促进中心，给予一次性最高200万元奖补。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牵头单位：省工业和信息化厅，配合单位：省财政厅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line="580" w:lineRule="exact"/>
        <w:ind w:left="0" w:leftChars="0" w:firstLine="640" w:firstLineChars="200"/>
        <w:jc w:val="left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、强化工作支撑。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支持基础软件和工业软件高质量发展，赋能制造业转型升级，具体按照基础软件和工业软件专项政策执行。通过政府购买服务等方式，支持开展重大课题研究，举办各类培训会、现场会、对接会、宣传推广等交流活动，提供相关服务支撑。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牵头单位：省工业和信息化厅，配合单位：省财政厅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line="580" w:lineRule="exact"/>
        <w:ind w:left="0" w:leftChars="0" w:firstLine="640" w:firstLineChars="20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、加大金融支持力度。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对企业为实施新型技改项目获得的1年期及以上项目贷款，按照同期贷款银行市场报价利率40%给予贴息，单个项目贴息期不超过3年，最高500万元。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牵头单位：省工业和信息化厅，配合单位：省财政厅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支持企业通过融资租赁方式购置设备进行新型技改，对期限在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年期及以上的设备融资租赁业务，按照实际支付融资租赁租息的40%给予贴息，单个项目贴息期不超过2年，最高300万元。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牵头单位：省工业和信息化厅，配合单位：省财政厅、省地方金融管理局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</w:t>
      </w:r>
      <w:r>
        <w:rPr>
          <w:rFonts w:hint="default" w:ascii="Times New Roman" w:hAnsi="Times New Roman" w:cs="Times New Roman"/>
          <w:sz w:val="32"/>
          <w:szCs w:val="32"/>
        </w:rPr>
        <w:t>支持光储行业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、汽车行业并购重组，省级对各市并购贷款贴息分别给予最高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50%、30%的补助，其中汽车行业</w:t>
      </w:r>
      <w:r>
        <w:rPr>
          <w:rFonts w:hint="default" w:ascii="Times New Roman" w:hAnsi="Times New Roman" w:cs="Times New Roman"/>
          <w:sz w:val="32"/>
          <w:szCs w:val="32"/>
        </w:rPr>
        <w:t>单个并购重组项目省级最高补助2000万元。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</w:rPr>
        <w:t>牵头单位：省工业和信息化厅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、省发展改革委按职责分工分别负责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，配合单位：省财政厅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line="580" w:lineRule="exact"/>
        <w:ind w:left="0" w:leftChars="0" w:firstLine="640" w:firstLineChars="20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省工业和信息化厅会同省财政厅等部门制定具体实施细则，对皖北、原国家和省扶贫开发工作重点县（市、区，含部分革命老区）符合条件的项目，奖补资金上浮20%。</w:t>
      </w:r>
    </w:p>
    <w:p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spacing w:line="580" w:lineRule="exact"/>
        <w:ind w:left="0" w:leftChars="0" w:firstLine="640" w:firstLineChars="20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本政策自2026年1月1日起实施，有效期至2028年12月31日。</w:t>
      </w:r>
    </w:p>
    <w:sectPr>
      <w:footerReference r:id="rId5" w:type="default"/>
      <w:pgSz w:w="11906" w:h="16838"/>
      <w:pgMar w:top="2098" w:right="1474" w:bottom="1814" w:left="1588" w:header="851" w:footer="1417" w:gutter="0"/>
      <w:pgNumType w:fmt="numberInDash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文鼎ＰＬ简中楷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文鼎ＰＬ简中楷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等线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17"/>
    <w:rsid w:val="000115AD"/>
    <w:rsid w:val="00016D6C"/>
    <w:rsid w:val="00035089"/>
    <w:rsid w:val="00037B2B"/>
    <w:rsid w:val="000546B9"/>
    <w:rsid w:val="0008257E"/>
    <w:rsid w:val="00084701"/>
    <w:rsid w:val="00085919"/>
    <w:rsid w:val="00086879"/>
    <w:rsid w:val="000938DC"/>
    <w:rsid w:val="00097C5C"/>
    <w:rsid w:val="000A62F1"/>
    <w:rsid w:val="000B654E"/>
    <w:rsid w:val="000C0A9D"/>
    <w:rsid w:val="000D05AD"/>
    <w:rsid w:val="000E0792"/>
    <w:rsid w:val="000F08E8"/>
    <w:rsid w:val="000F4379"/>
    <w:rsid w:val="000F5E4E"/>
    <w:rsid w:val="000F7FA0"/>
    <w:rsid w:val="00102031"/>
    <w:rsid w:val="00112C15"/>
    <w:rsid w:val="00115A1F"/>
    <w:rsid w:val="001175F5"/>
    <w:rsid w:val="001566F4"/>
    <w:rsid w:val="00163287"/>
    <w:rsid w:val="001902F6"/>
    <w:rsid w:val="00190505"/>
    <w:rsid w:val="00197212"/>
    <w:rsid w:val="001973E5"/>
    <w:rsid w:val="001B6D06"/>
    <w:rsid w:val="001C0EDC"/>
    <w:rsid w:val="001C108B"/>
    <w:rsid w:val="001C44F6"/>
    <w:rsid w:val="001C67D5"/>
    <w:rsid w:val="001D499A"/>
    <w:rsid w:val="001D4E96"/>
    <w:rsid w:val="001E5F1B"/>
    <w:rsid w:val="001F0975"/>
    <w:rsid w:val="001F1E33"/>
    <w:rsid w:val="002024CA"/>
    <w:rsid w:val="002125D6"/>
    <w:rsid w:val="00233D19"/>
    <w:rsid w:val="002400DB"/>
    <w:rsid w:val="002413C2"/>
    <w:rsid w:val="00252810"/>
    <w:rsid w:val="00280250"/>
    <w:rsid w:val="002A02CD"/>
    <w:rsid w:val="002C7490"/>
    <w:rsid w:val="002D0598"/>
    <w:rsid w:val="002E0E10"/>
    <w:rsid w:val="00301FBC"/>
    <w:rsid w:val="003148E6"/>
    <w:rsid w:val="00337C7E"/>
    <w:rsid w:val="00362E75"/>
    <w:rsid w:val="003A469B"/>
    <w:rsid w:val="003B3CD1"/>
    <w:rsid w:val="003B6154"/>
    <w:rsid w:val="003D078E"/>
    <w:rsid w:val="003D1B5D"/>
    <w:rsid w:val="003D29AD"/>
    <w:rsid w:val="003F51CC"/>
    <w:rsid w:val="003F5F0B"/>
    <w:rsid w:val="003F7098"/>
    <w:rsid w:val="0042091C"/>
    <w:rsid w:val="00420FE4"/>
    <w:rsid w:val="00427182"/>
    <w:rsid w:val="004357C3"/>
    <w:rsid w:val="00442D12"/>
    <w:rsid w:val="00452800"/>
    <w:rsid w:val="00461EF1"/>
    <w:rsid w:val="004735A2"/>
    <w:rsid w:val="00473612"/>
    <w:rsid w:val="004743DF"/>
    <w:rsid w:val="004768A7"/>
    <w:rsid w:val="00490596"/>
    <w:rsid w:val="00493DF5"/>
    <w:rsid w:val="004B3ACF"/>
    <w:rsid w:val="004C2BC7"/>
    <w:rsid w:val="004C428D"/>
    <w:rsid w:val="004C4372"/>
    <w:rsid w:val="004C5015"/>
    <w:rsid w:val="004D1BFC"/>
    <w:rsid w:val="004D687B"/>
    <w:rsid w:val="004E291D"/>
    <w:rsid w:val="0050004A"/>
    <w:rsid w:val="00505BD8"/>
    <w:rsid w:val="005114B6"/>
    <w:rsid w:val="00517ACC"/>
    <w:rsid w:val="00526818"/>
    <w:rsid w:val="005275AF"/>
    <w:rsid w:val="00575C4E"/>
    <w:rsid w:val="00581C97"/>
    <w:rsid w:val="00587784"/>
    <w:rsid w:val="005B00E0"/>
    <w:rsid w:val="005B6F35"/>
    <w:rsid w:val="005C09F6"/>
    <w:rsid w:val="005C38A1"/>
    <w:rsid w:val="005D6177"/>
    <w:rsid w:val="005E0975"/>
    <w:rsid w:val="005F5FB7"/>
    <w:rsid w:val="00604E98"/>
    <w:rsid w:val="006114AF"/>
    <w:rsid w:val="00611B83"/>
    <w:rsid w:val="00611D5D"/>
    <w:rsid w:val="00616D28"/>
    <w:rsid w:val="00617C2E"/>
    <w:rsid w:val="00620BEE"/>
    <w:rsid w:val="00620D36"/>
    <w:rsid w:val="00625B04"/>
    <w:rsid w:val="006469A9"/>
    <w:rsid w:val="00657843"/>
    <w:rsid w:val="0066717E"/>
    <w:rsid w:val="00687AB9"/>
    <w:rsid w:val="00692BC9"/>
    <w:rsid w:val="00697366"/>
    <w:rsid w:val="0069750C"/>
    <w:rsid w:val="006C16EF"/>
    <w:rsid w:val="006D4503"/>
    <w:rsid w:val="006D4C5C"/>
    <w:rsid w:val="006D68C5"/>
    <w:rsid w:val="006E50F2"/>
    <w:rsid w:val="00716E9F"/>
    <w:rsid w:val="00722738"/>
    <w:rsid w:val="00736679"/>
    <w:rsid w:val="007420BF"/>
    <w:rsid w:val="007A15D2"/>
    <w:rsid w:val="007A1DEF"/>
    <w:rsid w:val="007A26FC"/>
    <w:rsid w:val="007B1F34"/>
    <w:rsid w:val="007B3AA0"/>
    <w:rsid w:val="007C01CE"/>
    <w:rsid w:val="007F5864"/>
    <w:rsid w:val="007F6B9C"/>
    <w:rsid w:val="00807135"/>
    <w:rsid w:val="008108D3"/>
    <w:rsid w:val="0081217B"/>
    <w:rsid w:val="0081584A"/>
    <w:rsid w:val="00824918"/>
    <w:rsid w:val="008255AB"/>
    <w:rsid w:val="0084373A"/>
    <w:rsid w:val="008444F1"/>
    <w:rsid w:val="00853C70"/>
    <w:rsid w:val="008A653B"/>
    <w:rsid w:val="008B1674"/>
    <w:rsid w:val="008B2046"/>
    <w:rsid w:val="008B456E"/>
    <w:rsid w:val="008C0BC6"/>
    <w:rsid w:val="008C17C1"/>
    <w:rsid w:val="008D5429"/>
    <w:rsid w:val="008D7FC8"/>
    <w:rsid w:val="008E4138"/>
    <w:rsid w:val="00904AAE"/>
    <w:rsid w:val="009103E7"/>
    <w:rsid w:val="009126C8"/>
    <w:rsid w:val="009163F3"/>
    <w:rsid w:val="00930E0B"/>
    <w:rsid w:val="009505EB"/>
    <w:rsid w:val="009546F1"/>
    <w:rsid w:val="00960A08"/>
    <w:rsid w:val="00965D98"/>
    <w:rsid w:val="00973797"/>
    <w:rsid w:val="00980DEF"/>
    <w:rsid w:val="0098371C"/>
    <w:rsid w:val="00986F5B"/>
    <w:rsid w:val="00997A06"/>
    <w:rsid w:val="009C6559"/>
    <w:rsid w:val="009D0669"/>
    <w:rsid w:val="009D0E24"/>
    <w:rsid w:val="009D65C9"/>
    <w:rsid w:val="009E76BD"/>
    <w:rsid w:val="009F1600"/>
    <w:rsid w:val="00A02E81"/>
    <w:rsid w:val="00A10D41"/>
    <w:rsid w:val="00A122F2"/>
    <w:rsid w:val="00A22317"/>
    <w:rsid w:val="00A24A4C"/>
    <w:rsid w:val="00A34790"/>
    <w:rsid w:val="00A5478D"/>
    <w:rsid w:val="00A96122"/>
    <w:rsid w:val="00A97171"/>
    <w:rsid w:val="00AA0337"/>
    <w:rsid w:val="00AA23EB"/>
    <w:rsid w:val="00AA4812"/>
    <w:rsid w:val="00AB2BA7"/>
    <w:rsid w:val="00AC647F"/>
    <w:rsid w:val="00AD6E0A"/>
    <w:rsid w:val="00AE1875"/>
    <w:rsid w:val="00AF1A93"/>
    <w:rsid w:val="00AF7A1E"/>
    <w:rsid w:val="00B000AE"/>
    <w:rsid w:val="00B038CF"/>
    <w:rsid w:val="00B267E8"/>
    <w:rsid w:val="00B35758"/>
    <w:rsid w:val="00B4307A"/>
    <w:rsid w:val="00B43BB0"/>
    <w:rsid w:val="00B64457"/>
    <w:rsid w:val="00B84DFC"/>
    <w:rsid w:val="00B95A59"/>
    <w:rsid w:val="00BA544D"/>
    <w:rsid w:val="00BA6EDE"/>
    <w:rsid w:val="00BB013F"/>
    <w:rsid w:val="00BC5177"/>
    <w:rsid w:val="00C0226C"/>
    <w:rsid w:val="00C123CC"/>
    <w:rsid w:val="00C150E5"/>
    <w:rsid w:val="00C17B54"/>
    <w:rsid w:val="00C321D5"/>
    <w:rsid w:val="00C34707"/>
    <w:rsid w:val="00C35252"/>
    <w:rsid w:val="00C36ACF"/>
    <w:rsid w:val="00C63123"/>
    <w:rsid w:val="00C73E7E"/>
    <w:rsid w:val="00C803BF"/>
    <w:rsid w:val="00C95CE1"/>
    <w:rsid w:val="00CA0987"/>
    <w:rsid w:val="00CC0317"/>
    <w:rsid w:val="00CD6BF1"/>
    <w:rsid w:val="00CD6CB0"/>
    <w:rsid w:val="00CD7F12"/>
    <w:rsid w:val="00CE41BA"/>
    <w:rsid w:val="00D04AF0"/>
    <w:rsid w:val="00D2203E"/>
    <w:rsid w:val="00D22FDB"/>
    <w:rsid w:val="00D239AF"/>
    <w:rsid w:val="00D510BC"/>
    <w:rsid w:val="00D537F0"/>
    <w:rsid w:val="00D62AFB"/>
    <w:rsid w:val="00D65884"/>
    <w:rsid w:val="00D667B1"/>
    <w:rsid w:val="00D716C7"/>
    <w:rsid w:val="00D74AF6"/>
    <w:rsid w:val="00D82D97"/>
    <w:rsid w:val="00DA7B5E"/>
    <w:rsid w:val="00DB357D"/>
    <w:rsid w:val="00DB615D"/>
    <w:rsid w:val="00DC6047"/>
    <w:rsid w:val="00DC7F21"/>
    <w:rsid w:val="00DD080E"/>
    <w:rsid w:val="00DD1B95"/>
    <w:rsid w:val="00DD2CE6"/>
    <w:rsid w:val="00DD3E17"/>
    <w:rsid w:val="00DD3F57"/>
    <w:rsid w:val="00DD7203"/>
    <w:rsid w:val="00DE46EF"/>
    <w:rsid w:val="00DF066A"/>
    <w:rsid w:val="00DF0A8D"/>
    <w:rsid w:val="00E041F9"/>
    <w:rsid w:val="00E056BB"/>
    <w:rsid w:val="00E1157F"/>
    <w:rsid w:val="00E3072F"/>
    <w:rsid w:val="00E37148"/>
    <w:rsid w:val="00E44A52"/>
    <w:rsid w:val="00E62B16"/>
    <w:rsid w:val="00E63C78"/>
    <w:rsid w:val="00E656F2"/>
    <w:rsid w:val="00E750AF"/>
    <w:rsid w:val="00E75881"/>
    <w:rsid w:val="00E87A40"/>
    <w:rsid w:val="00E922C2"/>
    <w:rsid w:val="00E94DDB"/>
    <w:rsid w:val="00E96536"/>
    <w:rsid w:val="00EA2C62"/>
    <w:rsid w:val="00EC2139"/>
    <w:rsid w:val="00EC2CF0"/>
    <w:rsid w:val="00ED13F8"/>
    <w:rsid w:val="00ED3DAC"/>
    <w:rsid w:val="00EF0ABD"/>
    <w:rsid w:val="00EF11D7"/>
    <w:rsid w:val="00EF769F"/>
    <w:rsid w:val="00F02ED5"/>
    <w:rsid w:val="00F04B37"/>
    <w:rsid w:val="00F07E94"/>
    <w:rsid w:val="00F1523F"/>
    <w:rsid w:val="00F16099"/>
    <w:rsid w:val="00F26A4C"/>
    <w:rsid w:val="00F433EB"/>
    <w:rsid w:val="00F515D6"/>
    <w:rsid w:val="00F74CC2"/>
    <w:rsid w:val="00F82815"/>
    <w:rsid w:val="00F83D0A"/>
    <w:rsid w:val="00F83D40"/>
    <w:rsid w:val="00F83E9E"/>
    <w:rsid w:val="00FA0896"/>
    <w:rsid w:val="00FB48C5"/>
    <w:rsid w:val="00FB6399"/>
    <w:rsid w:val="00FB63C4"/>
    <w:rsid w:val="00FC0222"/>
    <w:rsid w:val="00FC4D97"/>
    <w:rsid w:val="00FC75E2"/>
    <w:rsid w:val="00FE5C83"/>
    <w:rsid w:val="01A85D51"/>
    <w:rsid w:val="0EFF4FCF"/>
    <w:rsid w:val="13D7C163"/>
    <w:rsid w:val="140D0453"/>
    <w:rsid w:val="1B474A2F"/>
    <w:rsid w:val="1D7F42B9"/>
    <w:rsid w:val="1EFFFCF0"/>
    <w:rsid w:val="1F761AF7"/>
    <w:rsid w:val="215E1C62"/>
    <w:rsid w:val="226A7C82"/>
    <w:rsid w:val="23FF7013"/>
    <w:rsid w:val="2DBE80A1"/>
    <w:rsid w:val="2FEB826B"/>
    <w:rsid w:val="31A7424C"/>
    <w:rsid w:val="3F1A73F8"/>
    <w:rsid w:val="3F66B154"/>
    <w:rsid w:val="3FDA59FA"/>
    <w:rsid w:val="3FDF4C9C"/>
    <w:rsid w:val="3FFB6AF6"/>
    <w:rsid w:val="3FFE4D4A"/>
    <w:rsid w:val="41952276"/>
    <w:rsid w:val="47E3109A"/>
    <w:rsid w:val="57EE3BA1"/>
    <w:rsid w:val="57FF4D48"/>
    <w:rsid w:val="5AE70B77"/>
    <w:rsid w:val="5BF5A384"/>
    <w:rsid w:val="5DDFD64F"/>
    <w:rsid w:val="5EB4A8E1"/>
    <w:rsid w:val="5EF517A1"/>
    <w:rsid w:val="5F77CBEC"/>
    <w:rsid w:val="5FBD6D3E"/>
    <w:rsid w:val="5FFDB63D"/>
    <w:rsid w:val="5FFFA48E"/>
    <w:rsid w:val="62EE0372"/>
    <w:rsid w:val="64612254"/>
    <w:rsid w:val="657D7CC5"/>
    <w:rsid w:val="66CDDCC1"/>
    <w:rsid w:val="67F4545A"/>
    <w:rsid w:val="699E8E61"/>
    <w:rsid w:val="6ADED302"/>
    <w:rsid w:val="6C1EF045"/>
    <w:rsid w:val="6E751186"/>
    <w:rsid w:val="6E9E9D93"/>
    <w:rsid w:val="72F7E609"/>
    <w:rsid w:val="72FA4A1A"/>
    <w:rsid w:val="73DFC7B7"/>
    <w:rsid w:val="74FB73D2"/>
    <w:rsid w:val="75EB2C51"/>
    <w:rsid w:val="766FE361"/>
    <w:rsid w:val="77D5F71B"/>
    <w:rsid w:val="77FF9FDD"/>
    <w:rsid w:val="7B6475E5"/>
    <w:rsid w:val="7BF62792"/>
    <w:rsid w:val="7D76A169"/>
    <w:rsid w:val="7DEFBCDE"/>
    <w:rsid w:val="7DFEC2E8"/>
    <w:rsid w:val="7EB5BAA5"/>
    <w:rsid w:val="7EFE20D1"/>
    <w:rsid w:val="7F77F2B6"/>
    <w:rsid w:val="7F7B0E97"/>
    <w:rsid w:val="7FA7972C"/>
    <w:rsid w:val="7FAC8D0A"/>
    <w:rsid w:val="7FB72393"/>
    <w:rsid w:val="7FB7FC9B"/>
    <w:rsid w:val="7FDB3AF1"/>
    <w:rsid w:val="7FDF7CB3"/>
    <w:rsid w:val="7FEE94FE"/>
    <w:rsid w:val="7FF95792"/>
    <w:rsid w:val="87FFAA4B"/>
    <w:rsid w:val="9B2F8B53"/>
    <w:rsid w:val="9DFE8171"/>
    <w:rsid w:val="9EC2C71A"/>
    <w:rsid w:val="9FF5A93A"/>
    <w:rsid w:val="9FFA3E31"/>
    <w:rsid w:val="AE2F131B"/>
    <w:rsid w:val="AFBFDA43"/>
    <w:rsid w:val="AFFDC0FA"/>
    <w:rsid w:val="B6BF6827"/>
    <w:rsid w:val="B6FD04F6"/>
    <w:rsid w:val="B73F64A8"/>
    <w:rsid w:val="B7FF8AEE"/>
    <w:rsid w:val="BDF6AAB4"/>
    <w:rsid w:val="BDF7A522"/>
    <w:rsid w:val="BEEA9278"/>
    <w:rsid w:val="BEFAA380"/>
    <w:rsid w:val="BFEE0CA4"/>
    <w:rsid w:val="BFFF74F6"/>
    <w:rsid w:val="C3EEBBF4"/>
    <w:rsid w:val="C5AEAFBF"/>
    <w:rsid w:val="C7FF7CA1"/>
    <w:rsid w:val="CBFF0BA3"/>
    <w:rsid w:val="CEE295B5"/>
    <w:rsid w:val="D1DF958D"/>
    <w:rsid w:val="D3BE8B64"/>
    <w:rsid w:val="D77F22F1"/>
    <w:rsid w:val="DCFF7AA2"/>
    <w:rsid w:val="DDAA562C"/>
    <w:rsid w:val="DDEE0C1C"/>
    <w:rsid w:val="DEDD34EF"/>
    <w:rsid w:val="DEF2B090"/>
    <w:rsid w:val="DEFF907B"/>
    <w:rsid w:val="DF262076"/>
    <w:rsid w:val="DF786CC2"/>
    <w:rsid w:val="DF7BA891"/>
    <w:rsid w:val="DF7F1C86"/>
    <w:rsid w:val="DFB6D4A9"/>
    <w:rsid w:val="DFDD22A2"/>
    <w:rsid w:val="DFFB98C3"/>
    <w:rsid w:val="E7B73961"/>
    <w:rsid w:val="EAFF07C5"/>
    <w:rsid w:val="EB7B6D9F"/>
    <w:rsid w:val="EBDE4C39"/>
    <w:rsid w:val="EDBE05F5"/>
    <w:rsid w:val="EEEE78CE"/>
    <w:rsid w:val="EF2F4872"/>
    <w:rsid w:val="EFB26A19"/>
    <w:rsid w:val="F1BB5051"/>
    <w:rsid w:val="F37C8B38"/>
    <w:rsid w:val="F39D487D"/>
    <w:rsid w:val="F3FDA422"/>
    <w:rsid w:val="F657B2A1"/>
    <w:rsid w:val="F6D7EB98"/>
    <w:rsid w:val="F7680CEA"/>
    <w:rsid w:val="F7FB01C5"/>
    <w:rsid w:val="F7FFB753"/>
    <w:rsid w:val="F969E617"/>
    <w:rsid w:val="FA35648F"/>
    <w:rsid w:val="FA7B9CE2"/>
    <w:rsid w:val="FAF12204"/>
    <w:rsid w:val="FBAD248F"/>
    <w:rsid w:val="FBD732CA"/>
    <w:rsid w:val="FBFF809F"/>
    <w:rsid w:val="FC6F6553"/>
    <w:rsid w:val="FCF214EE"/>
    <w:rsid w:val="FD6B61D5"/>
    <w:rsid w:val="FD7C13D3"/>
    <w:rsid w:val="FDBFB490"/>
    <w:rsid w:val="FDF3F1D7"/>
    <w:rsid w:val="FE77EA70"/>
    <w:rsid w:val="FEBDEB65"/>
    <w:rsid w:val="FEFD6421"/>
    <w:rsid w:val="FF3F1B9D"/>
    <w:rsid w:val="FF5EC443"/>
    <w:rsid w:val="FFE7CE71"/>
    <w:rsid w:val="FFF3F621"/>
    <w:rsid w:val="FFFF6B21"/>
    <w:rsid w:val="FFFFD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80" w:lineRule="exact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Plain Text"/>
    <w:qFormat/>
    <w:uiPriority w:val="0"/>
    <w:pPr>
      <w:widowControl w:val="0"/>
      <w:jc w:val="both"/>
    </w:pPr>
    <w:rPr>
      <w:rFonts w:ascii="宋体" w:hAnsi="Courier New" w:eastAsia="宋体" w:cs="宋体"/>
      <w:kern w:val="2"/>
      <w:sz w:val="21"/>
      <w:szCs w:val="24"/>
      <w:lang w:val="en-US" w:eastAsia="zh-CN" w:bidi="ar-SA"/>
    </w:rPr>
  </w:style>
  <w:style w:type="paragraph" w:styleId="6">
    <w:name w:val="Balloon Text"/>
    <w:basedOn w:val="1"/>
    <w:link w:val="13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6"/>
    <w:semiHidden/>
    <w:qFormat/>
    <w:uiPriority w:val="99"/>
    <w:rPr>
      <w:rFonts w:ascii="仿宋_GB2312" w:eastAsia="仿宋_GB2312" w:hAnsiTheme="minorHAnsi" w:cstheme="minorBidi"/>
      <w:kern w:val="2"/>
      <w:sz w:val="18"/>
      <w:szCs w:val="18"/>
    </w:rPr>
  </w:style>
  <w:style w:type="paragraph" w:customStyle="1" w:styleId="14">
    <w:name w:val="_Style 2"/>
    <w:basedOn w:val="1"/>
    <w:next w:val="8"/>
    <w:qFormat/>
    <w:uiPriority w:val="0"/>
    <w:pPr>
      <w:spacing w:line="351" w:lineRule="atLeast"/>
      <w:ind w:firstLine="623"/>
      <w:textAlignment w:val="baseline"/>
    </w:pPr>
    <w:rPr>
      <w:rFonts w:ascii="Calibri" w:hAnsi="Calibri" w:cs="Arial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1848</Words>
  <Characters>1929</Characters>
  <Lines>13</Lines>
  <Paragraphs>3</Paragraphs>
  <TotalTime>0</TotalTime>
  <ScaleCrop>false</ScaleCrop>
  <LinksUpToDate>false</LinksUpToDate>
  <CharactersWithSpaces>1929</CharactersWithSpaces>
  <Application>WPS Office_11.8.2.12177_F1E327BC-269C-435d-A152-05C5408002CA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2022-04-08T10:55:00Z</dcterms:created>
  <dc:creator>l jy</dc:creator>
  <cp:lastModifiedBy>梁敬永</cp:lastModifiedBy>
  <cp:lastPrinted>2025-05-29T10:18:00Z</cp:lastPrinted>
  <dcterms:modified xsi:type="dcterms:W3CDTF">2025-06-04T14:00:50Z</dcterms:modified>
  <cp:revision>270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2052-11.8.2.12177</vt:lpwstr>
  </property>
  <property fmtid="{D5CDD505-2E9C-101B-9397-08002B2CF9AE}" pid="3" name="ICV">
    <vt:lpwstr>7A43FA28191173A91A932D6816DB2B44</vt:lpwstr>
  </property>
  <property fmtid="{D5CDD505-2E9C-101B-9397-08002B2CF9AE}" pid="4" name="KSOTemplateDocerSaveRecord">
    <vt:lpwstr>eyJoZGlkIjoiODNjNTJjNDAyMmY4YTdkZDFmYzQxYTNiOWVlNTUyNDcifQ==</vt:lpwstr>
  </property>
</Properties>
</file>