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eastAsia"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eastAsia="zh-CN"/>
        </w:rPr>
        <w:t>附件</w:t>
      </w:r>
      <w:r>
        <w:rPr>
          <w:rFonts w:hint="eastAsia" w:ascii="Nimbus Roman No9 L" w:hAnsi="Nimbus Roman No9 L" w:eastAsia="黑体" w:cs="Nimbus Roman No9 L"/>
          <w:sz w:val="32"/>
          <w:szCs w:val="32"/>
          <w:lang w:val="en-US" w:eastAsia="zh-CN"/>
        </w:rPr>
        <w:t>2</w:t>
      </w:r>
    </w:p>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default" w:ascii="Nimbus Roman No9 L" w:hAnsi="Nimbus Roman No9 L" w:eastAsia="黑体" w:cs="Nimbus Roman No9 L"/>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方正小标宋简体" w:cs="Nimbus Roman No9 L"/>
          <w:b w:val="0"/>
          <w:bCs w:val="0"/>
          <w:sz w:val="44"/>
          <w:szCs w:val="44"/>
          <w:highlight w:val="none"/>
          <w:lang w:eastAsia="zh-CN"/>
        </w:rPr>
      </w:pPr>
      <w:r>
        <w:rPr>
          <w:rFonts w:hint="default" w:ascii="Nimbus Roman No9 L" w:hAnsi="Nimbus Roman No9 L" w:eastAsia="方正小标宋简体" w:cs="Nimbus Roman No9 L"/>
          <w:b w:val="0"/>
          <w:bCs w:val="0"/>
          <w:sz w:val="44"/>
          <w:szCs w:val="44"/>
          <w:highlight w:val="none"/>
          <w:lang w:eastAsia="zh-CN"/>
        </w:rPr>
        <w:t>《商标行政执法证据</w:t>
      </w:r>
      <w:r>
        <w:rPr>
          <w:rFonts w:hint="eastAsia" w:ascii="Nimbus Roman No9 L" w:hAnsi="Nimbus Roman No9 L" w:eastAsia="方正小标宋简体" w:cs="Nimbus Roman No9 L"/>
          <w:b w:val="0"/>
          <w:bCs w:val="0"/>
          <w:sz w:val="44"/>
          <w:szCs w:val="44"/>
          <w:highlight w:val="none"/>
          <w:lang w:val="en-US" w:eastAsia="zh-CN"/>
        </w:rPr>
        <w:t>标准</w:t>
      </w:r>
      <w:r>
        <w:rPr>
          <w:rFonts w:hint="default" w:ascii="Nimbus Roman No9 L" w:hAnsi="Nimbus Roman No9 L" w:eastAsia="方正小标宋简体" w:cs="Nimbus Roman No9 L"/>
          <w:b w:val="0"/>
          <w:bCs w:val="0"/>
          <w:sz w:val="44"/>
          <w:szCs w:val="44"/>
          <w:highlight w:val="none"/>
          <w:lang w:eastAsia="zh-CN"/>
        </w:rPr>
        <w:t>规</w:t>
      </w:r>
      <w:r>
        <w:rPr>
          <w:rFonts w:hint="default" w:ascii="Nimbus Roman No9 L" w:hAnsi="Nimbus Roman No9 L" w:eastAsia="方正小标宋简体" w:cs="Nimbus Roman No9 L"/>
          <w:b w:val="0"/>
          <w:bCs w:val="0"/>
          <w:sz w:val="44"/>
          <w:szCs w:val="44"/>
          <w:highlight w:val="none"/>
          <w:lang w:val="en-US" w:eastAsia="zh-CN"/>
        </w:rPr>
        <w:t>定</w:t>
      </w:r>
      <w:r>
        <w:rPr>
          <w:rFonts w:hint="default" w:ascii="Nimbus Roman No9 L" w:hAnsi="Nimbus Roman No9 L" w:eastAsia="方正小标宋简体" w:cs="Nimbus Roman No9 L"/>
          <w:b w:val="0"/>
          <w:bCs w:val="0"/>
          <w:sz w:val="44"/>
          <w:szCs w:val="44"/>
          <w:highlight w:val="none"/>
          <w:lang w:eastAsia="zh-CN"/>
        </w:rPr>
        <w:t>（</w:t>
      </w:r>
      <w:r>
        <w:rPr>
          <w:rFonts w:hint="default" w:ascii="Nimbus Roman No9 L" w:hAnsi="Nimbus Roman No9 L" w:eastAsia="方正小标宋简体" w:cs="Nimbus Roman No9 L"/>
          <w:b w:val="0"/>
          <w:bCs w:val="0"/>
          <w:sz w:val="44"/>
          <w:szCs w:val="44"/>
          <w:highlight w:val="none"/>
          <w:lang w:val="en-US" w:eastAsia="zh-CN"/>
        </w:rPr>
        <w:t>征求意见</w:t>
      </w:r>
      <w:r>
        <w:rPr>
          <w:rFonts w:hint="default" w:ascii="Nimbus Roman No9 L" w:hAnsi="Nimbus Roman No9 L" w:eastAsia="方正小标宋简体" w:cs="Nimbus Roman No9 L"/>
          <w:b w:val="0"/>
          <w:bCs w:val="0"/>
          <w:sz w:val="44"/>
          <w:szCs w:val="44"/>
          <w:highlight w:val="none"/>
          <w:lang w:eastAsia="zh-CN"/>
        </w:rPr>
        <w:t>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方正小标宋简体" w:cs="Nimbus Roman No9 L"/>
          <w:b w:val="0"/>
          <w:bCs w:val="0"/>
          <w:sz w:val="44"/>
          <w:szCs w:val="44"/>
          <w:highlight w:val="none"/>
          <w:lang w:eastAsia="zh-CN"/>
        </w:rPr>
      </w:pPr>
      <w:r>
        <w:rPr>
          <w:rFonts w:hint="default" w:ascii="Nimbus Roman No9 L" w:hAnsi="Nimbus Roman No9 L" w:eastAsia="方正小标宋简体" w:cs="Nimbus Roman No9 L"/>
          <w:b w:val="0"/>
          <w:bCs w:val="0"/>
          <w:sz w:val="44"/>
          <w:szCs w:val="44"/>
          <w:highlight w:val="none"/>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No9 L" w:hAnsi="Nimbus Roman No9 L" w:cs="Nimbus Roman No9 L"/>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000000"/>
          <w:sz w:val="32"/>
          <w:szCs w:val="32"/>
        </w:rPr>
        <w:t>为加强商标行政执法专业指导，统一执法标准，准确认定商标违法事实，规范证据的收集、审查和认定</w:t>
      </w:r>
      <w:r>
        <w:rPr>
          <w:rFonts w:hint="default" w:ascii="Nimbus Roman No9 L" w:hAnsi="Nimbus Roman No9 L" w:eastAsia="仿宋_GB2312" w:cs="Nimbus Roman No9 L"/>
          <w:b w:val="0"/>
          <w:bCs w:val="0"/>
          <w:color w:val="auto"/>
          <w:sz w:val="32"/>
          <w:szCs w:val="32"/>
          <w:highlight w:val="none"/>
          <w:lang w:val="en-US" w:eastAsia="zh-CN"/>
        </w:rPr>
        <w:t>，</w:t>
      </w:r>
      <w:r>
        <w:rPr>
          <w:rFonts w:hint="default" w:ascii="Nimbus Roman No9 L" w:hAnsi="Nimbus Roman No9 L" w:eastAsia="仿宋_GB2312" w:cs="Nimbus Roman No9 L"/>
          <w:b w:val="0"/>
          <w:bCs w:val="0"/>
          <w:kern w:val="2"/>
          <w:sz w:val="32"/>
          <w:szCs w:val="32"/>
          <w:highlight w:val="none"/>
          <w:lang w:val="en-US" w:eastAsia="zh-CN" w:bidi="ar"/>
        </w:rPr>
        <w:t>国家知识产权局组织起草了《商标行政执法证据</w:t>
      </w:r>
      <w:r>
        <w:rPr>
          <w:rFonts w:hint="eastAsia" w:ascii="Nimbus Roman No9 L" w:hAnsi="Nimbus Roman No9 L" w:eastAsia="仿宋_GB2312" w:cs="Nimbus Roman No9 L"/>
          <w:b w:val="0"/>
          <w:bCs w:val="0"/>
          <w:kern w:val="2"/>
          <w:sz w:val="32"/>
          <w:szCs w:val="32"/>
          <w:highlight w:val="none"/>
          <w:lang w:val="en-US" w:eastAsia="zh-CN" w:bidi="ar"/>
        </w:rPr>
        <w:t>标准</w:t>
      </w:r>
      <w:r>
        <w:rPr>
          <w:rFonts w:hint="default" w:ascii="Nimbus Roman No9 L" w:hAnsi="Nimbus Roman No9 L" w:eastAsia="仿宋_GB2312" w:cs="Nimbus Roman No9 L"/>
          <w:b w:val="0"/>
          <w:bCs w:val="0"/>
          <w:kern w:val="2"/>
          <w:sz w:val="32"/>
          <w:szCs w:val="32"/>
          <w:highlight w:val="none"/>
          <w:lang w:val="en-US" w:eastAsia="zh-CN" w:bidi="ar"/>
        </w:rPr>
        <w:t>规定》（以下简称《证据规定》）。现就有关情况说明如下：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黑体" w:cs="Nimbus Roman No9 L"/>
          <w:color w:val="auto"/>
          <w:sz w:val="32"/>
          <w:szCs w:val="32"/>
          <w:highlight w:val="none"/>
          <w:lang w:val="en-US"/>
        </w:rPr>
      </w:pPr>
      <w:r>
        <w:rPr>
          <w:rFonts w:hint="default" w:ascii="Nimbus Roman No9 L" w:hAnsi="Nimbus Roman No9 L" w:eastAsia="黑体" w:cs="Nimbus Roman No9 L"/>
          <w:color w:val="auto"/>
          <w:sz w:val="32"/>
          <w:szCs w:val="32"/>
          <w:highlight w:val="none"/>
        </w:rPr>
        <w:t>一、</w:t>
      </w:r>
      <w:r>
        <w:rPr>
          <w:rFonts w:hint="default" w:ascii="Nimbus Roman No9 L" w:hAnsi="Nimbus Roman No9 L" w:eastAsia="黑体" w:cs="Nimbus Roman No9 L"/>
          <w:color w:val="auto"/>
          <w:sz w:val="32"/>
          <w:szCs w:val="32"/>
          <w:highlight w:val="none"/>
          <w:lang w:val="en-US" w:eastAsia="zh-CN"/>
        </w:rPr>
        <w:t>制定《证据规定》必要性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sz w:val="32"/>
          <w:szCs w:val="32"/>
          <w:highlight w:val="none"/>
          <w:lang w:val="en-US"/>
        </w:rPr>
      </w:pP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一</w:t>
      </w: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证据规定</w:t>
      </w: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是贯彻落实党中央、国务院决策部署的需要。</w:t>
      </w:r>
      <w:r>
        <w:rPr>
          <w:rFonts w:hint="default" w:ascii="Nimbus Roman No9 L" w:hAnsi="Nimbus Roman No9 L" w:eastAsia="仿宋_GB2312" w:cs="Nimbus Roman No9 L"/>
          <w:color w:val="000000"/>
          <w:sz w:val="32"/>
          <w:szCs w:val="32"/>
          <w:highlight w:val="none"/>
          <w:lang w:val="en-US" w:eastAsia="zh-CN"/>
        </w:rPr>
        <w:t>党的二十大报告强调“加强知识产权法治保障，形成支持全面创新的基础制度”。中共中央、国务院印发的《知识产权强国建设纲要（2021—2035年）》要求“建立统一协调的执法标准、证据规则和案例指导制度”。中共中央办公厅、国务院办公厅《关于强化知识产权保护的意见》要求“严格规范证据标准”</w:t>
      </w:r>
      <w:r>
        <w:rPr>
          <w:rFonts w:hint="eastAsia" w:ascii="Nimbus Roman No9 L" w:hAnsi="Nimbus Roman No9 L" w:eastAsia="仿宋_GB2312" w:cs="Nimbus Roman No9 L"/>
          <w:color w:val="000000"/>
          <w:sz w:val="32"/>
          <w:szCs w:val="32"/>
          <w:highlight w:val="none"/>
          <w:lang w:val="en-US" w:eastAsia="zh-CN"/>
        </w:rPr>
        <w:t>“</w:t>
      </w:r>
      <w:r>
        <w:rPr>
          <w:rFonts w:hint="default" w:ascii="Nimbus Roman No9 L" w:hAnsi="Nimbus Roman No9 L" w:eastAsia="仿宋_GB2312" w:cs="Nimbus Roman No9 L"/>
          <w:color w:val="000000"/>
          <w:sz w:val="32"/>
          <w:szCs w:val="32"/>
          <w:highlight w:val="none"/>
          <w:lang w:val="en-US" w:eastAsia="zh-CN"/>
        </w:rPr>
        <w:t>规范司法、行政执法、仲裁、调解等不同渠道的证据标准”。《证据规定》进一步</w:t>
      </w:r>
      <w:r>
        <w:rPr>
          <w:rFonts w:hint="default" w:ascii="Nimbus Roman No9 L" w:hAnsi="Nimbus Roman No9 L" w:eastAsia="仿宋_GB2312" w:cs="Nimbus Roman No9 L"/>
          <w:color w:val="auto"/>
          <w:sz w:val="32"/>
          <w:szCs w:val="32"/>
          <w:highlight w:val="none"/>
        </w:rPr>
        <w:t>完善商标行政执法</w:t>
      </w:r>
      <w:r>
        <w:rPr>
          <w:rFonts w:hint="default" w:ascii="Nimbus Roman No9 L" w:hAnsi="Nimbus Roman No9 L" w:eastAsia="仿宋_GB2312" w:cs="Nimbus Roman No9 L"/>
          <w:color w:val="auto"/>
          <w:sz w:val="32"/>
          <w:szCs w:val="32"/>
          <w:highlight w:val="none"/>
          <w:lang w:val="en-US" w:eastAsia="zh-CN"/>
        </w:rPr>
        <w:t>标准</w:t>
      </w:r>
      <w:r>
        <w:rPr>
          <w:rFonts w:hint="default" w:ascii="Nimbus Roman No9 L" w:hAnsi="Nimbus Roman No9 L" w:eastAsia="仿宋_GB2312" w:cs="Nimbus Roman No9 L"/>
          <w:color w:val="auto"/>
          <w:sz w:val="32"/>
          <w:szCs w:val="32"/>
          <w:highlight w:val="none"/>
        </w:rPr>
        <w:t>体系，</w:t>
      </w:r>
      <w:r>
        <w:rPr>
          <w:rFonts w:hint="default" w:ascii="Nimbus Roman No9 L" w:hAnsi="Nimbus Roman No9 L" w:eastAsia="仿宋_GB2312" w:cs="Nimbus Roman No9 L"/>
          <w:sz w:val="32"/>
          <w:szCs w:val="32"/>
          <w:lang w:eastAsia="zh-CN"/>
        </w:rPr>
        <w:t>是贯彻落实</w:t>
      </w:r>
      <w:r>
        <w:rPr>
          <w:rFonts w:hint="default" w:ascii="Nimbus Roman No9 L" w:hAnsi="Nimbus Roman No9 L" w:eastAsia="仿宋_GB2312" w:cs="Nimbus Roman No9 L"/>
          <w:sz w:val="32"/>
          <w:szCs w:val="32"/>
          <w:lang w:val="en-US" w:eastAsia="zh-CN"/>
        </w:rPr>
        <w:t>党中央、国务院</w:t>
      </w:r>
      <w:r>
        <w:rPr>
          <w:rFonts w:hint="default" w:ascii="Nimbus Roman No9 L" w:hAnsi="Nimbus Roman No9 L" w:eastAsia="仿宋_GB2312" w:cs="Nimbus Roman No9 L"/>
          <w:sz w:val="32"/>
          <w:szCs w:val="32"/>
          <w:lang w:eastAsia="zh-CN"/>
        </w:rPr>
        <w:t>决策部署的一项重要工作举措。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sz w:val="32"/>
          <w:szCs w:val="32"/>
          <w:highlight w:val="none"/>
          <w:lang w:val="en-US" w:eastAsia="zh-CN"/>
        </w:rPr>
      </w:pPr>
      <w:r>
        <w:rPr>
          <w:rFonts w:hint="default" w:ascii="Nimbus Roman No9 L" w:hAnsi="Nimbus Roman No9 L" w:eastAsia="楷体_GB2312" w:cs="Nimbus Roman No9 L"/>
          <w:sz w:val="32"/>
          <w:szCs w:val="32"/>
          <w:highlight w:val="none"/>
          <w:lang w:val="en-US" w:eastAsia="zh-CN"/>
        </w:rPr>
        <w:t>（二）</w:t>
      </w: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证据规定</w:t>
      </w: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是推动高质量发展的需要。</w:t>
      </w:r>
      <w:r>
        <w:rPr>
          <w:rFonts w:hint="default" w:ascii="Nimbus Roman No9 L" w:hAnsi="Nimbus Roman No9 L" w:eastAsia="仿宋_GB2312" w:cs="Nimbus Roman No9 L"/>
          <w:color w:val="000000"/>
          <w:sz w:val="32"/>
          <w:szCs w:val="32"/>
          <w:highlight w:val="none"/>
          <w:lang w:val="en-US" w:eastAsia="zh-CN"/>
        </w:rPr>
        <w:t>今年以来，党中央、国务院围绕推动经济社会高质量发展出台了一系列重要文件</w:t>
      </w:r>
      <w:r>
        <w:rPr>
          <w:rFonts w:hint="eastAsia" w:ascii="Nimbus Roman No9 L" w:hAnsi="Nimbus Roman No9 L" w:eastAsia="仿宋_GB2312" w:cs="Nimbus Roman No9 L"/>
          <w:color w:val="000000"/>
          <w:sz w:val="32"/>
          <w:szCs w:val="32"/>
          <w:highlight w:val="none"/>
          <w:lang w:val="en-US" w:eastAsia="zh-CN"/>
        </w:rPr>
        <w:t>。</w:t>
      </w:r>
      <w:r>
        <w:rPr>
          <w:rFonts w:hint="default" w:ascii="Nimbus Roman No9 L" w:hAnsi="Nimbus Roman No9 L" w:eastAsia="仿宋_GB2312" w:cs="Nimbus Roman No9 L"/>
          <w:color w:val="000000"/>
          <w:sz w:val="32"/>
          <w:szCs w:val="32"/>
          <w:highlight w:val="none"/>
          <w:lang w:val="en-US" w:eastAsia="zh-CN"/>
        </w:rPr>
        <w:t>中共中央、国务院出台的《关于促进民营经济发展壮大的意见》提出“要持续完善知识产权保护体系，建立知识产权侵权和行政非诉执行快速处理机制”。国务院《关于进一步优化外商投资环境 加大吸引外商投资力度的意见》</w:t>
      </w:r>
      <w:r>
        <w:rPr>
          <w:rFonts w:hint="default" w:ascii="Nimbus Roman No9 L" w:hAnsi="Nimbus Roman No9 L" w:eastAsia="仿宋_GB2312" w:cs="Nimbus Roman No9 L"/>
          <w:color w:val="000000"/>
          <w:sz w:val="32"/>
          <w:szCs w:val="32"/>
          <w:highlight w:val="none"/>
        </w:rPr>
        <w:t>要求</w:t>
      </w:r>
      <w:r>
        <w:rPr>
          <w:rFonts w:hint="eastAsia" w:ascii="Nimbus Roman No9 L" w:hAnsi="Nimbus Roman No9 L" w:eastAsia="仿宋_GB2312" w:cs="Nimbus Roman No9 L"/>
          <w:color w:val="000000"/>
          <w:sz w:val="32"/>
          <w:szCs w:val="32"/>
          <w:highlight w:val="none"/>
          <w:lang w:eastAsia="zh-CN"/>
        </w:rPr>
        <w:t>“</w:t>
      </w:r>
      <w:r>
        <w:rPr>
          <w:rFonts w:hint="default" w:ascii="Nimbus Roman No9 L" w:hAnsi="Nimbus Roman No9 L" w:eastAsia="仿宋_GB2312" w:cs="Nimbus Roman No9 L"/>
          <w:color w:val="000000"/>
          <w:sz w:val="32"/>
          <w:szCs w:val="32"/>
          <w:highlight w:val="none"/>
        </w:rPr>
        <w:t>健全知识产权快速协同保护机制，对事实清楚、证据确凿的案件，依法加快办理进度</w:t>
      </w:r>
      <w:r>
        <w:rPr>
          <w:rFonts w:hint="default" w:ascii="Nimbus Roman No9 L" w:hAnsi="Nimbus Roman No9 L" w:eastAsia="仿宋_GB2312" w:cs="Nimbus Roman No9 L"/>
          <w:color w:val="000000"/>
          <w:sz w:val="32"/>
          <w:szCs w:val="32"/>
          <w:highlight w:val="none"/>
          <w:lang w:val="en" w:eastAsia="zh-CN"/>
        </w:rPr>
        <w:t>”</w:t>
      </w:r>
      <w:r>
        <w:rPr>
          <w:rFonts w:hint="default" w:ascii="Nimbus Roman No9 L" w:hAnsi="Nimbus Roman No9 L" w:eastAsia="仿宋_GB2312" w:cs="Nimbus Roman No9 L"/>
          <w:color w:val="000000"/>
          <w:sz w:val="32"/>
          <w:szCs w:val="32"/>
          <w:highlight w:val="none"/>
          <w:lang w:eastAsia="zh-CN"/>
        </w:rPr>
        <w:t>。《</w:t>
      </w:r>
      <w:r>
        <w:rPr>
          <w:rFonts w:hint="default" w:ascii="Nimbus Roman No9 L" w:hAnsi="Nimbus Roman No9 L" w:eastAsia="仿宋_GB2312" w:cs="Nimbus Roman No9 L"/>
          <w:color w:val="000000"/>
          <w:sz w:val="32"/>
          <w:szCs w:val="32"/>
          <w:highlight w:val="none"/>
          <w:lang w:val="en-US" w:eastAsia="zh-CN"/>
        </w:rPr>
        <w:t>证据规定</w:t>
      </w:r>
      <w:r>
        <w:rPr>
          <w:rFonts w:hint="default" w:ascii="Nimbus Roman No9 L" w:hAnsi="Nimbus Roman No9 L" w:eastAsia="仿宋_GB2312" w:cs="Nimbus Roman No9 L"/>
          <w:color w:val="000000"/>
          <w:sz w:val="32"/>
          <w:szCs w:val="32"/>
          <w:highlight w:val="none"/>
          <w:lang w:eastAsia="zh-CN"/>
        </w:rPr>
        <w:t>》</w:t>
      </w:r>
      <w:r>
        <w:rPr>
          <w:rFonts w:hint="default" w:ascii="Nimbus Roman No9 L" w:hAnsi="Nimbus Roman No9 L" w:eastAsia="仿宋_GB2312" w:cs="Nimbus Roman No9 L"/>
          <w:color w:val="auto"/>
          <w:sz w:val="32"/>
          <w:szCs w:val="32"/>
          <w:highlight w:val="none"/>
        </w:rPr>
        <w:t>进一步明晰商标行政执法中证据的种类和要求</w:t>
      </w:r>
      <w:r>
        <w:rPr>
          <w:rFonts w:hint="default" w:ascii="Nimbus Roman No9 L" w:hAnsi="Nimbus Roman No9 L" w:eastAsia="仿宋_GB2312" w:cs="Nimbus Roman No9 L"/>
          <w:color w:val="auto"/>
          <w:sz w:val="32"/>
          <w:szCs w:val="32"/>
          <w:highlight w:val="none"/>
          <w:lang w:eastAsia="zh-CN"/>
        </w:rPr>
        <w:t>、证据的收集</w:t>
      </w:r>
      <w:r>
        <w:rPr>
          <w:rFonts w:hint="default" w:ascii="Nimbus Roman No9 L" w:hAnsi="Nimbus Roman No9 L" w:eastAsia="仿宋_GB2312" w:cs="Nimbus Roman No9 L"/>
          <w:color w:val="auto"/>
          <w:sz w:val="32"/>
          <w:szCs w:val="32"/>
          <w:highlight w:val="none"/>
          <w:lang w:val="en-US" w:eastAsia="zh-CN"/>
        </w:rPr>
        <w:t>、证据的审查与认定</w:t>
      </w:r>
      <w:r>
        <w:rPr>
          <w:rFonts w:hint="default" w:ascii="Nimbus Roman No9 L" w:hAnsi="Nimbus Roman No9 L" w:eastAsia="仿宋_GB2312" w:cs="Nimbus Roman No9 L"/>
          <w:color w:val="auto"/>
          <w:sz w:val="32"/>
          <w:szCs w:val="32"/>
          <w:highlight w:val="none"/>
        </w:rPr>
        <w:t>等</w:t>
      </w:r>
      <w:r>
        <w:rPr>
          <w:rFonts w:hint="default" w:ascii="Nimbus Roman No9 L" w:hAnsi="Nimbus Roman No9 L" w:eastAsia="仿宋_GB2312" w:cs="Nimbus Roman No9 L"/>
          <w:color w:val="auto"/>
          <w:sz w:val="32"/>
          <w:szCs w:val="32"/>
          <w:highlight w:val="none"/>
          <w:lang w:val="en-US" w:eastAsia="zh-CN"/>
        </w:rPr>
        <w:t>方面</w:t>
      </w:r>
      <w:r>
        <w:rPr>
          <w:rFonts w:hint="default" w:ascii="Nimbus Roman No9 L" w:hAnsi="Nimbus Roman No9 L" w:eastAsia="仿宋_GB2312" w:cs="Nimbus Roman No9 L"/>
          <w:color w:val="auto"/>
          <w:sz w:val="32"/>
          <w:szCs w:val="32"/>
          <w:highlight w:val="none"/>
        </w:rPr>
        <w:t>内容，</w:t>
      </w:r>
      <w:r>
        <w:rPr>
          <w:rFonts w:hint="default" w:ascii="Nimbus Roman No9 L" w:hAnsi="Nimbus Roman No9 L" w:eastAsia="仿宋_GB2312" w:cs="Nimbus Roman No9 L"/>
          <w:color w:val="auto"/>
          <w:sz w:val="32"/>
          <w:szCs w:val="32"/>
          <w:highlight w:val="none"/>
          <w:lang w:val="en-US" w:eastAsia="zh-CN"/>
        </w:rPr>
        <w:t>明确商标行政执法规则要求，保障</w:t>
      </w:r>
      <w:r>
        <w:rPr>
          <w:rFonts w:hint="default" w:ascii="Nimbus Roman No9 L" w:hAnsi="Nimbus Roman No9 L" w:eastAsia="仿宋_GB2312" w:cs="Nimbus Roman No9 L"/>
          <w:sz w:val="32"/>
          <w:szCs w:val="32"/>
          <w:highlight w:val="none"/>
          <w:lang w:val="en-US" w:eastAsia="zh-CN"/>
        </w:rPr>
        <w:t>经营</w:t>
      </w:r>
      <w:r>
        <w:rPr>
          <w:rFonts w:hint="default" w:ascii="Nimbus Roman No9 L" w:hAnsi="Nimbus Roman No9 L" w:eastAsia="仿宋_GB2312" w:cs="Nimbus Roman No9 L"/>
          <w:sz w:val="32"/>
          <w:szCs w:val="32"/>
          <w:highlight w:val="none"/>
          <w:lang w:eastAsia="zh-CN"/>
        </w:rPr>
        <w:t>主体合法权益，</w:t>
      </w:r>
      <w:r>
        <w:rPr>
          <w:rFonts w:hint="default" w:ascii="Nimbus Roman No9 L" w:hAnsi="Nimbus Roman No9 L" w:eastAsia="仿宋_GB2312" w:cs="Nimbus Roman No9 L"/>
          <w:sz w:val="32"/>
          <w:szCs w:val="32"/>
          <w:highlight w:val="none"/>
          <w:lang w:val="en-US" w:eastAsia="zh-CN"/>
        </w:rPr>
        <w:t>是</w:t>
      </w:r>
      <w:r>
        <w:rPr>
          <w:rFonts w:hint="default" w:ascii="Nimbus Roman No9 L" w:hAnsi="Nimbus Roman No9 L" w:eastAsia="仿宋_GB2312" w:cs="Nimbus Roman No9 L"/>
          <w:sz w:val="32"/>
          <w:szCs w:val="32"/>
          <w:highlight w:val="none"/>
          <w:lang w:eastAsia="zh-CN"/>
        </w:rPr>
        <w:t>进一步激发经营主体活力，</w:t>
      </w:r>
      <w:r>
        <w:rPr>
          <w:rFonts w:hint="default" w:ascii="Nimbus Roman No9 L" w:hAnsi="Nimbus Roman No9 L" w:eastAsia="仿宋_GB2312" w:cs="Nimbus Roman No9 L"/>
          <w:color w:val="auto"/>
          <w:sz w:val="32"/>
          <w:szCs w:val="32"/>
          <w:highlight w:val="none"/>
          <w:rtl w:val="0"/>
          <w:lang w:val="en-US" w:eastAsia="zh-CN"/>
        </w:rPr>
        <w:t>营造良好的营商和创新环境，</w:t>
      </w:r>
      <w:r>
        <w:rPr>
          <w:rFonts w:hint="default" w:ascii="Nimbus Roman No9 L" w:hAnsi="Nimbus Roman No9 L" w:eastAsia="仿宋_GB2312" w:cs="Nimbus Roman No9 L"/>
          <w:sz w:val="32"/>
          <w:szCs w:val="32"/>
          <w:highlight w:val="none"/>
          <w:lang w:val="en-US" w:eastAsia="zh-CN"/>
        </w:rPr>
        <w:t>助力构建新发展格局，推动高质量发展的实措。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Nimbus Roman No9 L" w:hAnsi="Nimbus Roman No9 L" w:eastAsia="仿宋_GB2312" w:cs="Nimbus Roman No9 L"/>
          <w:color w:val="000000"/>
          <w:sz w:val="32"/>
          <w:szCs w:val="32"/>
          <w:highlight w:val="none"/>
          <w:shd w:val="clear" w:color="auto" w:fill="FFFFFF"/>
          <w:lang w:val="en-US" w:eastAsia="zh-CN"/>
        </w:rPr>
      </w:pP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三</w:t>
      </w:r>
      <w:r>
        <w:rPr>
          <w:rFonts w:hint="default" w:ascii="Nimbus Roman No9 L" w:hAnsi="Nimbus Roman No9 L" w:eastAsia="楷体_GB2312" w:cs="Nimbus Roman No9 L"/>
          <w:sz w:val="32"/>
          <w:szCs w:val="32"/>
          <w:highlight w:val="none"/>
          <w:lang w:eastAsia="zh-CN"/>
        </w:rPr>
        <w:t>）《</w:t>
      </w:r>
      <w:r>
        <w:rPr>
          <w:rFonts w:hint="default" w:ascii="Nimbus Roman No9 L" w:hAnsi="Nimbus Roman No9 L" w:eastAsia="楷体_GB2312" w:cs="Nimbus Roman No9 L"/>
          <w:sz w:val="32"/>
          <w:szCs w:val="32"/>
          <w:highlight w:val="none"/>
          <w:lang w:val="en-US" w:eastAsia="zh-CN"/>
        </w:rPr>
        <w:t>证据规定</w:t>
      </w:r>
      <w:r>
        <w:rPr>
          <w:rFonts w:hint="default" w:ascii="Nimbus Roman No9 L" w:hAnsi="Nimbus Roman No9 L" w:eastAsia="楷体_GB2312" w:cs="Nimbus Roman No9 L"/>
          <w:sz w:val="32"/>
          <w:szCs w:val="32"/>
          <w:highlight w:val="none"/>
          <w:lang w:eastAsia="zh-CN"/>
        </w:rPr>
        <w:t>》是</w:t>
      </w:r>
      <w:r>
        <w:rPr>
          <w:rFonts w:hint="default" w:ascii="Nimbus Roman No9 L" w:hAnsi="Nimbus Roman No9 L" w:eastAsia="楷体_GB2312" w:cs="Nimbus Roman No9 L"/>
          <w:sz w:val="32"/>
          <w:szCs w:val="32"/>
          <w:highlight w:val="none"/>
          <w:lang w:val="en-US" w:eastAsia="zh-CN"/>
        </w:rPr>
        <w:t>加强商标执法专业指导的需要。</w:t>
      </w:r>
      <w:r>
        <w:rPr>
          <w:rFonts w:hint="default" w:ascii="Nimbus Roman No9 L" w:hAnsi="Nimbus Roman No9 L" w:eastAsia="仿宋_GB2312" w:cs="Nimbus Roman No9 L"/>
          <w:color w:val="000000"/>
          <w:sz w:val="32"/>
          <w:szCs w:val="32"/>
          <w:highlight w:val="none"/>
          <w:lang w:val="en-US" w:eastAsia="zh-CN"/>
        </w:rPr>
        <w:t>一方面，《中华人民共和国商标法》《中华人民共和国行政处罚法》等法律对证据的规定较为原则和上位，需要进一步细化；另一方面，商标行政执法中尚未制定专门的证据规定，缺少对负责商标执法的部门统一的执法指引。中共中央、国务院印发的《党和国家机构改革方案》要求“完善知识产权管理体制”</w:t>
      </w:r>
      <w:r>
        <w:rPr>
          <w:rFonts w:hint="eastAsia" w:ascii="Nimbus Roman No9 L" w:hAnsi="Nimbus Roman No9 L" w:eastAsia="仿宋_GB2312" w:cs="Nimbus Roman No9 L"/>
          <w:color w:val="000000"/>
          <w:sz w:val="32"/>
          <w:szCs w:val="32"/>
          <w:highlight w:val="none"/>
          <w:lang w:val="en-US" w:eastAsia="zh-CN"/>
        </w:rPr>
        <w:t>“</w:t>
      </w:r>
      <w:r>
        <w:rPr>
          <w:rFonts w:hint="default" w:ascii="Nimbus Roman No9 L" w:hAnsi="Nimbus Roman No9 L" w:eastAsia="仿宋_GB2312" w:cs="Nimbus Roman No9 L"/>
          <w:color w:val="000000"/>
          <w:sz w:val="32"/>
          <w:szCs w:val="32"/>
          <w:highlight w:val="none"/>
          <w:lang w:val="en-US" w:eastAsia="zh-CN"/>
        </w:rPr>
        <w:t>商标、专利等领域执法职责继续由市场监管综合执法队伍承担，相关执法工作接受国家知识产权局专业指导”。</w:t>
      </w:r>
      <w:r>
        <w:rPr>
          <w:rFonts w:hint="default" w:ascii="Nimbus Roman No9 L" w:hAnsi="Nimbus Roman No9 L" w:eastAsia="仿宋_GB2312" w:cs="Nimbus Roman No9 L"/>
          <w:color w:val="000000"/>
          <w:sz w:val="32"/>
          <w:szCs w:val="32"/>
          <w:highlight w:val="none"/>
          <w:lang w:eastAsia="zh-CN"/>
        </w:rPr>
        <w:t>《</w:t>
      </w:r>
      <w:r>
        <w:rPr>
          <w:rFonts w:hint="default" w:ascii="Nimbus Roman No9 L" w:hAnsi="Nimbus Roman No9 L" w:eastAsia="仿宋_GB2312" w:cs="Nimbus Roman No9 L"/>
          <w:color w:val="000000"/>
          <w:sz w:val="32"/>
          <w:szCs w:val="32"/>
          <w:highlight w:val="none"/>
          <w:lang w:val="en-US" w:eastAsia="zh-CN"/>
        </w:rPr>
        <w:t>证据规定</w:t>
      </w:r>
      <w:r>
        <w:rPr>
          <w:rFonts w:hint="default" w:ascii="Nimbus Roman No9 L" w:hAnsi="Nimbus Roman No9 L" w:eastAsia="仿宋_GB2312" w:cs="Nimbus Roman No9 L"/>
          <w:color w:val="000000"/>
          <w:sz w:val="32"/>
          <w:szCs w:val="32"/>
          <w:highlight w:val="none"/>
          <w:lang w:eastAsia="zh-CN"/>
        </w:rPr>
        <w:t>》</w:t>
      </w:r>
      <w:r>
        <w:rPr>
          <w:rFonts w:hint="default" w:ascii="Nimbus Roman No9 L" w:hAnsi="Nimbus Roman No9 L" w:eastAsia="仿宋_GB2312" w:cs="Nimbus Roman No9 L"/>
          <w:color w:val="000000"/>
          <w:sz w:val="32"/>
          <w:szCs w:val="32"/>
          <w:highlight w:val="none"/>
          <w:lang w:val="en-US" w:eastAsia="zh-CN"/>
        </w:rPr>
        <w:t>作为商标行政执法标准的重要方面，</w:t>
      </w:r>
      <w:r>
        <w:rPr>
          <w:rFonts w:hint="default" w:ascii="Nimbus Roman No9 L" w:hAnsi="Nimbus Roman No9 L" w:eastAsia="仿宋_GB2312" w:cs="Nimbus Roman No9 L"/>
          <w:color w:val="000000"/>
          <w:sz w:val="32"/>
          <w:szCs w:val="32"/>
          <w:highlight w:val="none"/>
          <w:shd w:val="clear" w:color="auto" w:fill="FFFFFF"/>
          <w:lang w:val="en-US" w:eastAsia="zh-CN"/>
        </w:rPr>
        <w:t>具有较强的针对性、操作性和有效性，填补了商标行政执法领域对证据规则的空缺，完善了商标行政执法的证据内容和要求，增强了商标行政执法的办案效力，确保行政执法案件做到证据充分、定性准确、处理高效。《证据规定》的制定出台，是加强商标执法专业指导，贯彻有关法律规定，全面推进严格规范公正文明执法的有力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黑体" w:cs="Nimbus Roman No9 L"/>
          <w:color w:val="auto"/>
          <w:sz w:val="32"/>
          <w:szCs w:val="32"/>
          <w:highlight w:val="none"/>
        </w:rPr>
      </w:pPr>
      <w:r>
        <w:rPr>
          <w:rFonts w:hint="default" w:ascii="Nimbus Roman No9 L" w:hAnsi="Nimbus Roman No9 L" w:eastAsia="黑体" w:cs="Nimbus Roman No9 L"/>
          <w:color w:val="auto"/>
          <w:sz w:val="32"/>
          <w:szCs w:val="32"/>
          <w:highlight w:val="none"/>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highlight w:val="none"/>
          <w:lang w:val="en-US" w:eastAsia="zh-CN"/>
        </w:rPr>
      </w:pPr>
      <w:r>
        <w:rPr>
          <w:rFonts w:hint="default" w:ascii="Nimbus Roman No9 L" w:hAnsi="Nimbus Roman No9 L" w:eastAsia="仿宋_GB2312" w:cs="Nimbus Roman No9 L"/>
          <w:color w:val="auto"/>
          <w:sz w:val="32"/>
          <w:szCs w:val="32"/>
          <w:highlight w:val="none"/>
        </w:rPr>
        <w:t>2022年7月</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sz w:val="32"/>
          <w:szCs w:val="32"/>
          <w:highlight w:val="none"/>
          <w:lang w:val="en-US" w:eastAsia="zh-CN"/>
        </w:rPr>
        <w:t>国家知识产权局启动商标行政执法证据规则研究工作，委托有关事业单位及学术机构开展商标行政执法证据的法理学分析和实证分析项目研究，</w:t>
      </w:r>
      <w:r>
        <w:rPr>
          <w:rFonts w:hint="default" w:ascii="Nimbus Roman No9 L" w:hAnsi="Nimbus Roman No9 L" w:eastAsia="仿宋_GB2312" w:cs="Nimbus Roman No9 L"/>
          <w:sz w:val="32"/>
          <w:szCs w:val="32"/>
          <w:highlight w:val="none"/>
          <w:lang w:eastAsia="zh-CN"/>
        </w:rPr>
        <w:t>依据现行法律、法规、规章，参考最高人民法院、最高人民检察院、公安部出台的相关文件，</w:t>
      </w:r>
      <w:r>
        <w:rPr>
          <w:rFonts w:hint="default" w:ascii="Nimbus Roman No9 L" w:hAnsi="Nimbus Roman No9 L" w:eastAsia="仿宋_GB2312" w:cs="Nimbus Roman No9 L"/>
          <w:sz w:val="32"/>
          <w:szCs w:val="32"/>
          <w:highlight w:val="none"/>
          <w:lang w:val="en-US" w:eastAsia="zh-CN"/>
        </w:rPr>
        <w:t>参阅</w:t>
      </w:r>
      <w:r>
        <w:rPr>
          <w:rFonts w:hint="default" w:ascii="Nimbus Roman No9 L" w:hAnsi="Nimbus Roman No9 L" w:eastAsia="仿宋_GB2312" w:cs="Nimbus Roman No9 L"/>
          <w:color w:val="auto"/>
          <w:sz w:val="32"/>
          <w:szCs w:val="32"/>
          <w:highlight w:val="none"/>
        </w:rPr>
        <w:t>商标</w:t>
      </w:r>
      <w:r>
        <w:rPr>
          <w:rFonts w:hint="default" w:ascii="Nimbus Roman No9 L" w:hAnsi="Nimbus Roman No9 L" w:eastAsia="仿宋_GB2312" w:cs="Nimbus Roman No9 L"/>
          <w:color w:val="auto"/>
          <w:sz w:val="32"/>
          <w:szCs w:val="32"/>
          <w:highlight w:val="none"/>
          <w:lang w:val="en-US" w:eastAsia="zh-CN"/>
        </w:rPr>
        <w:t>行政执法相关</w:t>
      </w:r>
      <w:r>
        <w:rPr>
          <w:rFonts w:hint="default" w:ascii="Nimbus Roman No9 L" w:hAnsi="Nimbus Roman No9 L" w:eastAsia="仿宋_GB2312" w:cs="Nimbus Roman No9 L"/>
          <w:color w:val="auto"/>
          <w:sz w:val="32"/>
          <w:szCs w:val="32"/>
          <w:highlight w:val="none"/>
        </w:rPr>
        <w:t>行政答复、典型案例</w:t>
      </w:r>
      <w:r>
        <w:rPr>
          <w:rFonts w:hint="default" w:ascii="Nimbus Roman No9 L" w:hAnsi="Nimbus Roman No9 L" w:eastAsia="仿宋_GB2312" w:cs="Nimbus Roman No9 L"/>
          <w:color w:val="auto"/>
          <w:sz w:val="32"/>
          <w:szCs w:val="32"/>
          <w:highlight w:val="none"/>
          <w:lang w:val="en-US" w:eastAsia="zh-CN"/>
        </w:rPr>
        <w:t>及</w:t>
      </w:r>
      <w:r>
        <w:rPr>
          <w:rFonts w:hint="default" w:ascii="Nimbus Roman No9 L" w:hAnsi="Nimbus Roman No9 L" w:eastAsia="仿宋_GB2312" w:cs="Nimbus Roman No9 L"/>
          <w:color w:val="auto"/>
          <w:sz w:val="32"/>
          <w:szCs w:val="32"/>
          <w:highlight w:val="none"/>
        </w:rPr>
        <w:t>案卷</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sz w:val="32"/>
          <w:szCs w:val="32"/>
          <w:highlight w:val="none"/>
          <w:lang w:val="en-US" w:eastAsia="zh-CN"/>
        </w:rPr>
        <w:t>针对商标行政执法中证据方面的难点、痛点、堵点问题以及执法实践中面临的新情况、新问题，</w:t>
      </w:r>
      <w:r>
        <w:rPr>
          <w:rFonts w:hint="default" w:ascii="Nimbus Roman No9 L" w:hAnsi="Nimbus Roman No9 L" w:eastAsia="仿宋_GB2312" w:cs="Nimbus Roman No9 L"/>
          <w:color w:val="auto"/>
          <w:sz w:val="32"/>
          <w:szCs w:val="32"/>
          <w:highlight w:val="none"/>
          <w:lang w:val="en-US" w:eastAsia="zh-CN"/>
        </w:rPr>
        <w:t>于</w:t>
      </w:r>
      <w:r>
        <w:rPr>
          <w:rFonts w:hint="default" w:ascii="Nimbus Roman No9 L" w:hAnsi="Nimbus Roman No9 L" w:eastAsia="仿宋_GB2312" w:cs="Nimbus Roman No9 L"/>
          <w:sz w:val="32"/>
          <w:szCs w:val="32"/>
          <w:highlight w:val="none"/>
          <w:lang w:val="en-US" w:eastAsia="zh-CN"/>
        </w:rPr>
        <w:t>2023年9月形成</w:t>
      </w:r>
      <w:r>
        <w:rPr>
          <w:rFonts w:hint="default" w:ascii="Nimbus Roman No9 L" w:hAnsi="Nimbus Roman No9 L" w:eastAsia="仿宋_GB2312" w:cs="Nimbus Roman No9 L"/>
          <w:sz w:val="32"/>
          <w:szCs w:val="32"/>
          <w:highlight w:val="none"/>
          <w:lang w:eastAsia="zh-CN"/>
        </w:rPr>
        <w:t>《证据规定》</w:t>
      </w:r>
      <w:r>
        <w:rPr>
          <w:rFonts w:hint="default" w:ascii="Nimbus Roman No9 L" w:hAnsi="Nimbus Roman No9 L" w:eastAsia="仿宋_GB2312" w:cs="Nimbus Roman No9 L"/>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黑体" w:cs="Nimbus Roman No9 L"/>
          <w:color w:val="auto"/>
          <w:sz w:val="32"/>
          <w:szCs w:val="32"/>
          <w:highlight w:val="none"/>
        </w:rPr>
      </w:pPr>
      <w:r>
        <w:rPr>
          <w:rFonts w:hint="default" w:ascii="Nimbus Roman No9 L" w:hAnsi="Nimbus Roman No9 L" w:eastAsia="黑体" w:cs="Nimbus Roman No9 L"/>
          <w:color w:val="auto"/>
          <w:sz w:val="32"/>
          <w:szCs w:val="32"/>
          <w:highlight w:val="none"/>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sz w:val="32"/>
          <w:szCs w:val="32"/>
          <w:highlight w:val="none"/>
          <w:lang w:eastAsia="zh-CN"/>
        </w:rPr>
        <w:t>《证据规定》</w:t>
      </w:r>
      <w:r>
        <w:rPr>
          <w:rFonts w:hint="default" w:ascii="Nimbus Roman No9 L" w:hAnsi="Nimbus Roman No9 L" w:eastAsia="仿宋_GB2312" w:cs="Nimbus Roman No9 L"/>
          <w:color w:val="auto"/>
          <w:sz w:val="32"/>
          <w:szCs w:val="32"/>
          <w:highlight w:val="none"/>
        </w:rPr>
        <w:t>共五章</w:t>
      </w:r>
      <w:r>
        <w:rPr>
          <w:rFonts w:hint="default" w:ascii="Nimbus Roman No9 L" w:hAnsi="Nimbus Roman No9 L" w:eastAsia="仿宋_GB2312" w:cs="Nimbus Roman No9 L"/>
          <w:color w:val="auto"/>
          <w:sz w:val="32"/>
          <w:szCs w:val="32"/>
          <w:highlight w:val="none"/>
          <w:lang w:eastAsia="zh-CN"/>
        </w:rPr>
        <w:t>四十</w:t>
      </w:r>
      <w:r>
        <w:rPr>
          <w:rFonts w:hint="eastAsia" w:ascii="Nimbus Roman No9 L" w:hAnsi="Nimbus Roman No9 L" w:eastAsia="仿宋_GB2312" w:cs="Nimbus Roman No9 L"/>
          <w:color w:val="auto"/>
          <w:sz w:val="32"/>
          <w:szCs w:val="32"/>
          <w:highlight w:val="none"/>
          <w:lang w:val="en-US" w:eastAsia="zh-CN"/>
        </w:rPr>
        <w:t>六</w:t>
      </w:r>
      <w:r>
        <w:rPr>
          <w:rFonts w:hint="default" w:ascii="Nimbus Roman No9 L" w:hAnsi="Nimbus Roman No9 L" w:eastAsia="仿宋_GB2312" w:cs="Nimbus Roman No9 L"/>
          <w:color w:val="auto"/>
          <w:sz w:val="32"/>
          <w:szCs w:val="32"/>
          <w:highlight w:val="none"/>
        </w:rPr>
        <w:t>条。</w:t>
      </w:r>
      <w:r>
        <w:rPr>
          <w:rFonts w:hint="default" w:ascii="Nimbus Roman No9 L" w:hAnsi="Nimbus Roman No9 L" w:eastAsia="仿宋_GB2312" w:cs="Nimbus Roman No9 L"/>
          <w:b/>
          <w:bCs/>
          <w:color w:val="auto"/>
          <w:sz w:val="32"/>
          <w:szCs w:val="32"/>
          <w:highlight w:val="none"/>
          <w:lang w:val="en-US" w:eastAsia="zh-CN"/>
        </w:rPr>
        <w:t>第一章</w:t>
      </w:r>
      <w:r>
        <w:rPr>
          <w:rFonts w:hint="default" w:ascii="Nimbus Roman No9 L" w:hAnsi="Nimbus Roman No9 L" w:eastAsia="仿宋_GB2312" w:cs="Nimbus Roman No9 L"/>
          <w:b/>
          <w:bCs/>
          <w:color w:val="auto"/>
          <w:sz w:val="32"/>
          <w:szCs w:val="32"/>
          <w:highlight w:val="none"/>
        </w:rPr>
        <w:t>总则。</w:t>
      </w:r>
      <w:r>
        <w:rPr>
          <w:rFonts w:hint="default" w:ascii="Nimbus Roman No9 L" w:hAnsi="Nimbus Roman No9 L" w:eastAsia="仿宋_GB2312" w:cs="Nimbus Roman No9 L"/>
          <w:color w:val="auto"/>
          <w:sz w:val="32"/>
          <w:szCs w:val="32"/>
          <w:highlight w:val="none"/>
          <w:lang w:val="en-US" w:eastAsia="zh-CN"/>
        </w:rPr>
        <w:t>明确</w:t>
      </w:r>
      <w:r>
        <w:rPr>
          <w:rFonts w:hint="default" w:ascii="Nimbus Roman No9 L" w:hAnsi="Nimbus Roman No9 L" w:eastAsia="仿宋_GB2312" w:cs="Nimbus Roman No9 L"/>
          <w:color w:val="auto"/>
          <w:sz w:val="32"/>
          <w:szCs w:val="32"/>
          <w:highlight w:val="none"/>
        </w:rPr>
        <w:t>制定目的和法律依据</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适用主体和案件范围</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证据的概念等内容。</w:t>
      </w:r>
      <w:r>
        <w:rPr>
          <w:rFonts w:hint="default" w:ascii="Nimbus Roman No9 L" w:hAnsi="Nimbus Roman No9 L" w:eastAsia="仿宋_GB2312" w:cs="Nimbus Roman No9 L"/>
          <w:b/>
          <w:bCs/>
          <w:color w:val="auto"/>
          <w:sz w:val="32"/>
          <w:szCs w:val="32"/>
          <w:highlight w:val="none"/>
          <w:lang w:val="en-US" w:eastAsia="zh-CN"/>
        </w:rPr>
        <w:t>第二章</w:t>
      </w:r>
      <w:r>
        <w:rPr>
          <w:rFonts w:hint="default" w:ascii="Nimbus Roman No9 L" w:hAnsi="Nimbus Roman No9 L" w:eastAsia="仿宋_GB2312" w:cs="Nimbus Roman No9 L"/>
          <w:b/>
          <w:bCs/>
          <w:color w:val="auto"/>
          <w:sz w:val="32"/>
          <w:szCs w:val="32"/>
          <w:highlight w:val="none"/>
        </w:rPr>
        <w:t>证据种类与要求。</w:t>
      </w:r>
      <w:r>
        <w:rPr>
          <w:rFonts w:hint="default" w:ascii="Nimbus Roman No9 L" w:hAnsi="Nimbus Roman No9 L" w:eastAsia="仿宋_GB2312" w:cs="Nimbus Roman No9 L"/>
          <w:color w:val="auto"/>
          <w:sz w:val="32"/>
          <w:szCs w:val="32"/>
          <w:highlight w:val="none"/>
          <w:lang w:val="en-US" w:eastAsia="zh-CN"/>
        </w:rPr>
        <w:t>明确</w:t>
      </w:r>
      <w:r>
        <w:rPr>
          <w:rFonts w:hint="default" w:ascii="Nimbus Roman No9 L" w:hAnsi="Nimbus Roman No9 L" w:eastAsia="仿宋_GB2312" w:cs="Nimbus Roman No9 L"/>
          <w:color w:val="auto"/>
          <w:sz w:val="32"/>
          <w:szCs w:val="32"/>
          <w:highlight w:val="none"/>
        </w:rPr>
        <w:t>证据种类</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书证</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物证</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视听资料</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电子数据</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证人证言</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当事人</w:t>
      </w:r>
      <w:r>
        <w:rPr>
          <w:rFonts w:hint="default" w:ascii="Nimbus Roman No9 L" w:hAnsi="Nimbus Roman No9 L" w:eastAsia="仿宋_GB2312" w:cs="Nimbus Roman No9 L"/>
          <w:color w:val="auto"/>
          <w:sz w:val="32"/>
          <w:szCs w:val="32"/>
          <w:highlight w:val="none"/>
          <w:lang w:eastAsia="zh-CN"/>
        </w:rPr>
        <w:t>的</w:t>
      </w:r>
      <w:r>
        <w:rPr>
          <w:rFonts w:hint="default" w:ascii="Nimbus Roman No9 L" w:hAnsi="Nimbus Roman No9 L" w:eastAsia="仿宋_GB2312" w:cs="Nimbus Roman No9 L"/>
          <w:color w:val="auto"/>
          <w:sz w:val="32"/>
          <w:szCs w:val="32"/>
          <w:highlight w:val="none"/>
        </w:rPr>
        <w:t>陈述</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鉴定意见</w:t>
      </w:r>
      <w:r>
        <w:rPr>
          <w:rFonts w:hint="default" w:ascii="Nimbus Roman No9 L" w:hAnsi="Nimbus Roman No9 L" w:eastAsia="仿宋_GB2312" w:cs="Nimbus Roman No9 L"/>
          <w:color w:val="auto"/>
          <w:sz w:val="32"/>
          <w:szCs w:val="32"/>
          <w:highlight w:val="none"/>
          <w:lang w:eastAsia="zh-CN"/>
        </w:rPr>
        <w:t>、勘验笔录、</w:t>
      </w:r>
      <w:r>
        <w:rPr>
          <w:rFonts w:hint="default" w:ascii="Nimbus Roman No9 L" w:hAnsi="Nimbus Roman No9 L" w:eastAsia="仿宋_GB2312" w:cs="Nimbus Roman No9 L"/>
          <w:color w:val="auto"/>
          <w:sz w:val="32"/>
          <w:szCs w:val="32"/>
          <w:highlight w:val="none"/>
        </w:rPr>
        <w:t>现场笔录</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域外证据等内容。</w:t>
      </w:r>
      <w:r>
        <w:rPr>
          <w:rFonts w:hint="default" w:ascii="Nimbus Roman No9 L" w:hAnsi="Nimbus Roman No9 L" w:eastAsia="仿宋_GB2312" w:cs="Nimbus Roman No9 L"/>
          <w:b/>
          <w:bCs/>
          <w:color w:val="auto"/>
          <w:sz w:val="32"/>
          <w:szCs w:val="32"/>
          <w:highlight w:val="none"/>
          <w:lang w:val="en-US" w:eastAsia="zh-CN"/>
        </w:rPr>
        <w:t>第三章</w:t>
      </w:r>
      <w:r>
        <w:rPr>
          <w:rFonts w:hint="default" w:ascii="Nimbus Roman No9 L" w:hAnsi="Nimbus Roman No9 L" w:eastAsia="仿宋_GB2312" w:cs="Nimbus Roman No9 L"/>
          <w:b/>
          <w:bCs/>
          <w:color w:val="auto"/>
          <w:sz w:val="32"/>
          <w:szCs w:val="32"/>
          <w:highlight w:val="none"/>
        </w:rPr>
        <w:t>证据的收集。</w:t>
      </w:r>
      <w:r>
        <w:rPr>
          <w:rFonts w:hint="default" w:ascii="Nimbus Roman No9 L" w:hAnsi="Nimbus Roman No9 L" w:eastAsia="仿宋_GB2312" w:cs="Nimbus Roman No9 L"/>
          <w:color w:val="auto"/>
          <w:sz w:val="32"/>
          <w:szCs w:val="32"/>
          <w:highlight w:val="none"/>
          <w:lang w:val="en-US" w:eastAsia="zh-CN"/>
        </w:rPr>
        <w:t>明确负责商标执法的部门收集证据的职权</w:t>
      </w:r>
      <w:r>
        <w:rPr>
          <w:rFonts w:hint="default" w:ascii="Nimbus Roman No9 L" w:hAnsi="Nimbus Roman No9 L" w:eastAsia="仿宋_GB2312" w:cs="Nimbus Roman No9 L"/>
          <w:color w:val="auto"/>
          <w:sz w:val="32"/>
          <w:szCs w:val="32"/>
          <w:highlight w:val="none"/>
        </w:rPr>
        <w:t>，证据收集的一般要求</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抽样取证</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异地取证</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对特殊人群的取证要求</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先行登记保存</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当场先行登记保存</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先行登记保存的要求</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可以利用互联网信息系统和聘请有专门知识的人员收集电子数据</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网络在线提取电子数据</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网络在线提取要求</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保证网络在线提取的完整性</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采用录像等方式记录的内容</w:t>
      </w:r>
      <w:r>
        <w:rPr>
          <w:rFonts w:hint="eastAsia" w:ascii="Nimbus Roman No9 L" w:hAnsi="Nimbus Roman No9 L" w:eastAsia="仿宋_GB2312" w:cs="Nimbus Roman No9 L"/>
          <w:color w:val="auto"/>
          <w:sz w:val="32"/>
          <w:szCs w:val="32"/>
          <w:highlight w:val="none"/>
          <w:lang w:eastAsia="zh-CN"/>
        </w:rPr>
        <w:t>、保护电子数据完整性的方法</w:t>
      </w:r>
      <w:r>
        <w:rPr>
          <w:rFonts w:hint="default" w:ascii="Nimbus Roman No9 L" w:hAnsi="Nimbus Roman No9 L" w:eastAsia="仿宋_GB2312" w:cs="Nimbus Roman No9 L"/>
          <w:color w:val="auto"/>
          <w:sz w:val="32"/>
          <w:szCs w:val="32"/>
          <w:highlight w:val="none"/>
        </w:rPr>
        <w:t>等内容。</w:t>
      </w:r>
      <w:r>
        <w:rPr>
          <w:rFonts w:hint="default" w:ascii="Nimbus Roman No9 L" w:hAnsi="Nimbus Roman No9 L" w:eastAsia="仿宋_GB2312" w:cs="Nimbus Roman No9 L"/>
          <w:b/>
          <w:bCs/>
          <w:color w:val="auto"/>
          <w:sz w:val="32"/>
          <w:szCs w:val="32"/>
          <w:highlight w:val="none"/>
          <w:lang w:val="en-US" w:eastAsia="zh-CN"/>
        </w:rPr>
        <w:t>第四章</w:t>
      </w:r>
      <w:r>
        <w:rPr>
          <w:rFonts w:hint="default" w:ascii="Nimbus Roman No9 L" w:hAnsi="Nimbus Roman No9 L" w:eastAsia="仿宋_GB2312" w:cs="Nimbus Roman No9 L"/>
          <w:b/>
          <w:bCs/>
          <w:color w:val="auto"/>
          <w:sz w:val="32"/>
          <w:szCs w:val="32"/>
          <w:highlight w:val="none"/>
        </w:rPr>
        <w:t>证据的审查与认定。</w:t>
      </w:r>
      <w:r>
        <w:rPr>
          <w:rFonts w:hint="default" w:ascii="Nimbus Roman No9 L" w:hAnsi="Nimbus Roman No9 L" w:eastAsia="仿宋_GB2312" w:cs="Nimbus Roman No9 L"/>
          <w:color w:val="auto"/>
          <w:sz w:val="32"/>
          <w:szCs w:val="32"/>
          <w:highlight w:val="none"/>
          <w:lang w:val="en-US" w:eastAsia="zh-CN"/>
        </w:rPr>
        <w:t>明确证</w:t>
      </w:r>
      <w:r>
        <w:rPr>
          <w:rFonts w:hint="default" w:ascii="Nimbus Roman No9 L" w:hAnsi="Nimbus Roman No9 L" w:eastAsia="仿宋_GB2312" w:cs="Nimbus Roman No9 L"/>
          <w:color w:val="auto"/>
          <w:sz w:val="32"/>
          <w:szCs w:val="32"/>
          <w:highlight w:val="none"/>
        </w:rPr>
        <w:t>据审查的一般要求</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全面审查</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真实性审查</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合法性审查</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关联性审查</w:t>
      </w:r>
      <w:r>
        <w:rPr>
          <w:rFonts w:hint="default" w:ascii="Nimbus Roman No9 L" w:hAnsi="Nimbus Roman No9 L" w:eastAsia="仿宋_GB2312" w:cs="Nimbus Roman No9 L"/>
          <w:color w:val="auto"/>
          <w:sz w:val="32"/>
          <w:szCs w:val="32"/>
          <w:highlight w:val="none"/>
          <w:lang w:eastAsia="zh-CN"/>
        </w:rPr>
        <w:t>、直接认定</w:t>
      </w:r>
      <w:r>
        <w:rPr>
          <w:rFonts w:hint="eastAsia" w:ascii="Nimbus Roman No9 L" w:hAnsi="Nimbus Roman No9 L" w:eastAsia="仿宋_GB2312" w:cs="Nimbus Roman No9 L"/>
          <w:color w:val="auto"/>
          <w:sz w:val="32"/>
          <w:szCs w:val="32"/>
          <w:highlight w:val="none"/>
          <w:lang w:val="en-US" w:eastAsia="zh-CN"/>
        </w:rPr>
        <w:t>的</w:t>
      </w:r>
      <w:r>
        <w:rPr>
          <w:rFonts w:hint="default" w:ascii="Nimbus Roman No9 L" w:hAnsi="Nimbus Roman No9 L" w:eastAsia="仿宋_GB2312" w:cs="Nimbus Roman No9 L"/>
          <w:color w:val="auto"/>
          <w:sz w:val="32"/>
          <w:szCs w:val="32"/>
          <w:highlight w:val="none"/>
          <w:lang w:eastAsia="zh-CN"/>
        </w:rPr>
        <w:t>证据</w:t>
      </w:r>
      <w:r>
        <w:rPr>
          <w:rFonts w:hint="eastAsia"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其他部门证据的采纳</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一方认可的证据效力</w:t>
      </w:r>
      <w:r>
        <w:rPr>
          <w:rFonts w:hint="default" w:ascii="Nimbus Roman No9 L" w:hAnsi="Nimbus Roman No9 L" w:eastAsia="仿宋_GB2312" w:cs="Nimbus Roman No9 L"/>
          <w:color w:val="auto"/>
          <w:sz w:val="32"/>
          <w:szCs w:val="32"/>
          <w:highlight w:val="none"/>
          <w:lang w:eastAsia="zh-CN"/>
        </w:rPr>
        <w:t>、不能作为定案依据的证据、不能单独作为定案依据的证据</w:t>
      </w:r>
      <w:r>
        <w:rPr>
          <w:rFonts w:hint="eastAsia" w:ascii="Nimbus Roman No9 L" w:hAnsi="Nimbus Roman No9 L" w:eastAsia="仿宋_GB2312" w:cs="Nimbus Roman No9 L"/>
          <w:color w:val="auto"/>
          <w:sz w:val="32"/>
          <w:szCs w:val="32"/>
          <w:highlight w:val="none"/>
          <w:lang w:eastAsia="zh-CN"/>
        </w:rPr>
        <w:t>、不同情形的证明效力、</w:t>
      </w:r>
      <w:r>
        <w:rPr>
          <w:rFonts w:hint="default" w:ascii="Nimbus Roman No9 L" w:hAnsi="Nimbus Roman No9 L" w:eastAsia="仿宋_GB2312" w:cs="Nimbus Roman No9 L"/>
          <w:color w:val="auto"/>
          <w:sz w:val="32"/>
          <w:szCs w:val="32"/>
          <w:highlight w:val="none"/>
          <w:lang w:eastAsia="zh-CN"/>
        </w:rPr>
        <w:t>辨认意见的审查、电子数据真实性的审查</w:t>
      </w:r>
      <w:r>
        <w:rPr>
          <w:rFonts w:hint="eastAsia" w:ascii="Nimbus Roman No9 L" w:hAnsi="Nimbus Roman No9 L" w:eastAsia="仿宋_GB2312" w:cs="Nimbus Roman No9 L"/>
          <w:color w:val="auto"/>
          <w:sz w:val="32"/>
          <w:szCs w:val="32"/>
          <w:highlight w:val="none"/>
          <w:lang w:eastAsia="zh-CN"/>
        </w:rPr>
        <w:t>、电子数据完整性的审查、</w:t>
      </w:r>
      <w:r>
        <w:rPr>
          <w:rFonts w:hint="default" w:ascii="Nimbus Roman No9 L" w:hAnsi="Nimbus Roman No9 L" w:eastAsia="仿宋_GB2312" w:cs="Nimbus Roman No9 L"/>
          <w:color w:val="auto"/>
          <w:sz w:val="32"/>
          <w:szCs w:val="32"/>
          <w:highlight w:val="none"/>
        </w:rPr>
        <w:t>与原件具有同等证明效力的情形</w:t>
      </w:r>
      <w:r>
        <w:rPr>
          <w:rFonts w:hint="eastAsia"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lang w:eastAsia="zh-CN"/>
        </w:rPr>
        <w:t>当事人的陈述前后矛盾的处理</w:t>
      </w:r>
      <w:r>
        <w:rPr>
          <w:rFonts w:hint="eastAsia" w:ascii="Nimbus Roman No9 L" w:hAnsi="Nimbus Roman No9 L" w:eastAsia="仿宋_GB2312" w:cs="Nimbus Roman No9 L"/>
          <w:color w:val="auto"/>
          <w:sz w:val="32"/>
          <w:szCs w:val="32"/>
          <w:highlight w:val="none"/>
          <w:lang w:eastAsia="zh-CN"/>
        </w:rPr>
        <w:t>、不能作为证据使用的鉴定意见</w:t>
      </w:r>
      <w:r>
        <w:rPr>
          <w:rFonts w:hint="default" w:ascii="Nimbus Roman No9 L" w:hAnsi="Nimbus Roman No9 L" w:eastAsia="仿宋_GB2312" w:cs="Nimbus Roman No9 L"/>
          <w:color w:val="auto"/>
          <w:sz w:val="32"/>
          <w:szCs w:val="32"/>
          <w:highlight w:val="none"/>
        </w:rPr>
        <w:t>等内容。</w:t>
      </w:r>
      <w:r>
        <w:rPr>
          <w:rFonts w:hint="default" w:ascii="Nimbus Roman No9 L" w:hAnsi="Nimbus Roman No9 L" w:eastAsia="仿宋_GB2312" w:cs="Nimbus Roman No9 L"/>
          <w:b/>
          <w:bCs/>
          <w:color w:val="auto"/>
          <w:sz w:val="32"/>
          <w:szCs w:val="32"/>
          <w:highlight w:val="none"/>
          <w:lang w:val="en-US" w:eastAsia="zh-CN"/>
        </w:rPr>
        <w:t>第五章附</w:t>
      </w:r>
      <w:r>
        <w:rPr>
          <w:rFonts w:hint="default" w:ascii="Nimbus Roman No9 L" w:hAnsi="Nimbus Roman No9 L" w:eastAsia="仿宋_GB2312" w:cs="Nimbus Roman No9 L"/>
          <w:b/>
          <w:bCs/>
          <w:color w:val="auto"/>
          <w:sz w:val="32"/>
          <w:szCs w:val="32"/>
          <w:highlight w:val="none"/>
        </w:rPr>
        <w:t>则。</w:t>
      </w:r>
      <w:r>
        <w:rPr>
          <w:rFonts w:hint="default" w:ascii="Nimbus Roman No9 L" w:hAnsi="Nimbus Roman No9 L" w:eastAsia="仿宋_GB2312" w:cs="Nimbus Roman No9 L"/>
          <w:color w:val="auto"/>
          <w:sz w:val="32"/>
          <w:szCs w:val="32"/>
          <w:highlight w:val="none"/>
          <w:lang w:val="en-US" w:eastAsia="zh-CN"/>
        </w:rPr>
        <w:t>主要包括</w:t>
      </w:r>
      <w:r>
        <w:rPr>
          <w:rFonts w:hint="default" w:ascii="Nimbus Roman No9 L" w:hAnsi="Nimbus Roman No9 L" w:eastAsia="仿宋_GB2312" w:cs="Nimbus Roman No9 L"/>
          <w:color w:val="auto"/>
          <w:sz w:val="32"/>
          <w:szCs w:val="32"/>
          <w:highlight w:val="none"/>
        </w:rPr>
        <w:t>解释单位</w:t>
      </w:r>
      <w:r>
        <w:rPr>
          <w:rFonts w:hint="eastAsia"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施行时间等内容。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黑体" w:cs="Nimbus Roman No9 L"/>
          <w:b w:val="0"/>
          <w:bCs w:val="0"/>
          <w:sz w:val="32"/>
          <w:szCs w:val="32"/>
          <w:highlight w:val="none"/>
          <w:lang w:val="en-US" w:eastAsia="zh-CN"/>
        </w:rPr>
      </w:pPr>
      <w:r>
        <w:rPr>
          <w:rFonts w:hint="default" w:ascii="Nimbus Roman No9 L" w:hAnsi="Nimbus Roman No9 L" w:eastAsia="黑体" w:cs="Nimbus Roman No9 L"/>
          <w:b w:val="0"/>
          <w:bCs w:val="0"/>
          <w:sz w:val="32"/>
          <w:szCs w:val="32"/>
          <w:highlight w:val="none"/>
          <w:lang w:val="en-US" w:eastAsia="zh-CN"/>
        </w:rPr>
        <w:t>四、参考和引用的法律法规部门规章及司法解释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1.</w:t>
      </w:r>
      <w:r>
        <w:rPr>
          <w:rFonts w:hint="default" w:ascii="Nimbus Roman No9 L" w:hAnsi="Nimbus Roman No9 L" w:eastAsia="仿宋_GB2312" w:cs="Nimbus Roman No9 L"/>
          <w:color w:val="auto"/>
          <w:sz w:val="32"/>
          <w:szCs w:val="32"/>
          <w:highlight w:val="none"/>
        </w:rPr>
        <w:t>《中华人民共和国商标法》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2.</w:t>
      </w:r>
      <w:r>
        <w:rPr>
          <w:rFonts w:hint="default" w:ascii="Nimbus Roman No9 L" w:hAnsi="Nimbus Roman No9 L" w:eastAsia="仿宋_GB2312" w:cs="Nimbus Roman No9 L"/>
          <w:color w:val="auto"/>
          <w:sz w:val="32"/>
          <w:szCs w:val="32"/>
          <w:highlight w:val="none"/>
        </w:rPr>
        <w:t>《中华人民共和国行政处罚法》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3.</w:t>
      </w:r>
      <w:r>
        <w:rPr>
          <w:rFonts w:hint="default" w:ascii="Nimbus Roman No9 L" w:hAnsi="Nimbus Roman No9 L" w:eastAsia="仿宋_GB2312" w:cs="Nimbus Roman No9 L"/>
          <w:color w:val="auto"/>
          <w:sz w:val="32"/>
          <w:szCs w:val="32"/>
          <w:highlight w:val="none"/>
        </w:rPr>
        <w:t>《中华人民共和国行政强制法》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cs="Nimbus Roman No9 L"/>
        </w:rPr>
      </w:pPr>
      <w:r>
        <w:rPr>
          <w:rFonts w:hint="default" w:ascii="Nimbus Roman No9 L" w:hAnsi="Nimbus Roman No9 L" w:eastAsia="仿宋_GB2312" w:cs="Nimbus Roman No9 L"/>
          <w:color w:val="auto"/>
          <w:sz w:val="32"/>
          <w:szCs w:val="32"/>
          <w:highlight w:val="none"/>
          <w:lang w:val="en-US" w:eastAsia="zh-CN"/>
        </w:rPr>
        <w:t>4.</w:t>
      </w:r>
      <w:r>
        <w:rPr>
          <w:rFonts w:hint="default" w:ascii="Nimbus Roman No9 L" w:hAnsi="Nimbus Roman No9 L" w:eastAsia="仿宋_GB2312" w:cs="Nimbus Roman No9 L"/>
          <w:color w:val="auto"/>
          <w:sz w:val="32"/>
          <w:szCs w:val="32"/>
          <w:highlight w:val="none"/>
        </w:rPr>
        <w:t>《中华人民共和国行政复议法》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5.</w:t>
      </w:r>
      <w:r>
        <w:rPr>
          <w:rFonts w:hint="default" w:ascii="Nimbus Roman No9 L" w:hAnsi="Nimbus Roman No9 L" w:eastAsia="仿宋_GB2312" w:cs="Nimbus Roman No9 L"/>
          <w:color w:val="auto"/>
          <w:sz w:val="32"/>
          <w:szCs w:val="32"/>
          <w:highlight w:val="none"/>
        </w:rPr>
        <w:t>《中华人民共和国行政诉讼法》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6.</w:t>
      </w:r>
      <w:r>
        <w:rPr>
          <w:rFonts w:hint="default" w:ascii="Nimbus Roman No9 L" w:hAnsi="Nimbus Roman No9 L" w:eastAsia="仿宋_GB2312" w:cs="Nimbus Roman No9 L"/>
          <w:color w:val="auto"/>
          <w:sz w:val="32"/>
          <w:szCs w:val="32"/>
          <w:highlight w:val="none"/>
        </w:rPr>
        <w:t>《中华人民共和国商标法实施条例》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7.《驰名商标认定和保护规定》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8.《集体商标、证明商标注册和管理办法》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9.《商标印制管理办法》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10.《市场监督管理行政处罚程序规定》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11.《最高人民法院关于行政诉讼证据若干问题的规定》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12.《最高人民法院关于民事诉讼证据的若干规定》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13.《最高人民法院关于适用〈中华人民共和国行政诉讼法〉的解释》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14.《人民检察院行政诉讼监督规则》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auto"/>
          <w:sz w:val="32"/>
          <w:szCs w:val="32"/>
          <w:highlight w:val="none"/>
          <w:lang w:val="en-US" w:eastAsia="zh-CN"/>
        </w:rPr>
      </w:pPr>
      <w:r>
        <w:rPr>
          <w:rFonts w:hint="eastAsia" w:ascii="Nimbus Roman No9 L" w:hAnsi="Nimbus Roman No9 L" w:eastAsia="仿宋_GB2312" w:cs="Nimbus Roman No9 L"/>
          <w:color w:val="auto"/>
          <w:sz w:val="32"/>
          <w:szCs w:val="32"/>
          <w:highlight w:val="none"/>
          <w:lang w:val="en-US" w:eastAsia="zh-CN"/>
        </w:rPr>
        <w:t>15.《关于办理刑事案件收集提取和审查判断电子数据若干问题的规定》</w:t>
      </w:r>
    </w:p>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default" w:ascii="Nimbus Roman No9 L" w:hAnsi="Nimbus Roman No9 L" w:eastAsia="黑体" w:cs="Nimbus Roman No9 L"/>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Nimbus Roman No9 L" w:hAnsi="Nimbus Roman No9 L" w:eastAsia="仿宋_GB2312" w:cs="Nimbus Roman No9 L"/>
          <w:kern w:val="2"/>
          <w:sz w:val="32"/>
          <w:szCs w:val="32"/>
        </w:rPr>
      </w:pPr>
    </w:p>
    <w:p>
      <w:pPr>
        <w:keepNext w:val="0"/>
        <w:keepLines w:val="0"/>
        <w:pageBreakBefore w:val="0"/>
        <w:kinsoku/>
        <w:wordWrap/>
        <w:overflowPunct/>
        <w:topLinePunct w:val="0"/>
        <w:autoSpaceDN/>
        <w:bidi w:val="0"/>
        <w:adjustRightInd/>
        <w:snapToGrid/>
        <w:spacing w:line="560" w:lineRule="exact"/>
        <w:textAlignment w:val="auto"/>
        <w:rPr>
          <w:rFonts w:ascii="Nimbus Roman No9 L" w:hAnsi="Nimbus Roman No9 L" w:eastAsia="仿宋" w:cs="Nimbus Roman No9 L"/>
          <w:sz w:val="32"/>
          <w:szCs w:val="32"/>
        </w:rPr>
      </w:pPr>
    </w:p>
    <w:p>
      <w:bookmarkStart w:id="0" w:name="_GoBack"/>
      <w:bookmarkEnd w:id="0"/>
    </w:p>
    <w:sectPr>
      <w:footerReference r:id="rId3" w:type="default"/>
      <w:pgSz w:w="11907" w:h="16840"/>
      <w:pgMar w:top="1713" w:right="1588" w:bottom="1246" w:left="1588" w:header="851" w:footer="141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0" w:usb1="00000000" w:usb2="00000000" w:usb3="00000000" w:csb0="00000000" w:csb1="00000000"/>
  </w:font>
  <w:font w:name="方正公文小标宋">
    <w:panose1 w:val="020005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方正仿宋_GB2312">
    <w:panose1 w:val="02000000000000000000"/>
    <w:charset w:val="86"/>
    <w:family w:val="auto"/>
    <w:pitch w:val="default"/>
    <w:sig w:usb0="00000000" w:usb1="00000000" w:usb2="00000000" w:usb3="00000000" w:csb0="00000000" w:csb1="00000000"/>
  </w:font>
  <w:font w:name="方正公文小标宋">
    <w:panose1 w:val="020005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A3DE8"/>
    <w:rsid w:val="591A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iPriority w:val="0"/>
    <w:pPr>
      <w:ind w:left="420" w:leftChars="200"/>
    </w:pPr>
    <w:rPr>
      <w:rFonts w:ascii="Times New Roman" w:hAnsi="Times New Roman" w:eastAsia="宋体" w:cs="仿宋"/>
      <w:szCs w:val="32"/>
    </w:rPr>
  </w:style>
  <w:style w:type="paragraph" w:styleId="3">
    <w:name w:val="footer"/>
    <w:basedOn w:val="1"/>
    <w:uiPriority w:val="0"/>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社工委</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2023-12-02T12:02:00Z</dcterms:created>
  <dc:creator>lenovo</dc:creator>
  <cp:lastModifiedBy>lenovo</cp:lastModifiedBy>
  <dcterms:modified xsi:type="dcterms:W3CDTF">2023-12-02T12:02:54Z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